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B6A46">
      <w:pPr>
        <w:keepNext w:val="0"/>
        <w:keepLines w:val="0"/>
        <w:pageBreakBefore w:val="0"/>
        <w:widowControl w:val="0"/>
        <w:kinsoku/>
        <w:wordWrap/>
        <w:overflowPunct/>
        <w:topLinePunct w:val="0"/>
        <w:bidi w:val="0"/>
        <w:spacing w:line="44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银沙滩广场共享泡泡机、共享水枪</w:t>
      </w:r>
    </w:p>
    <w:p w14:paraId="5B90B4FC">
      <w:pPr>
        <w:keepNext w:val="0"/>
        <w:keepLines w:val="0"/>
        <w:pageBreakBefore w:val="0"/>
        <w:widowControl w:val="0"/>
        <w:kinsoku/>
        <w:wordWrap/>
        <w:overflowPunct/>
        <w:topLinePunct w:val="0"/>
        <w:bidi w:val="0"/>
        <w:spacing w:line="440" w:lineRule="exact"/>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经营权</w:t>
      </w:r>
      <w:r>
        <w:rPr>
          <w:rFonts w:hint="eastAsia" w:ascii="仿宋_GB2312" w:hAnsi="仿宋_GB2312" w:eastAsia="仿宋_GB2312" w:cs="仿宋_GB2312"/>
          <w:color w:val="auto"/>
          <w:sz w:val="32"/>
          <w:szCs w:val="32"/>
          <w:highlight w:val="none"/>
        </w:rPr>
        <w:t>情况说明</w:t>
      </w:r>
    </w:p>
    <w:p w14:paraId="76A915A6">
      <w:pPr>
        <w:keepNext w:val="0"/>
        <w:keepLines w:val="0"/>
        <w:pageBreakBefore w:val="0"/>
        <w:widowControl w:val="0"/>
        <w:kinsoku/>
        <w:wordWrap/>
        <w:overflowPunct/>
        <w:topLinePunct w:val="0"/>
        <w:bidi w:val="0"/>
        <w:spacing w:line="440" w:lineRule="exact"/>
        <w:ind w:firstLine="280" w:firstLineChars="100"/>
        <w:jc w:val="left"/>
        <w:textAlignment w:val="auto"/>
        <w:rPr>
          <w:rFonts w:hint="eastAsia" w:ascii="仿宋_GB2312" w:hAnsi="仿宋_GB2312" w:eastAsia="仿宋_GB2312" w:cs="仿宋_GB2312"/>
          <w:color w:val="auto"/>
          <w:sz w:val="28"/>
          <w:szCs w:val="28"/>
          <w:highlight w:val="none"/>
        </w:rPr>
      </w:pPr>
    </w:p>
    <w:p w14:paraId="0DD87406">
      <w:pPr>
        <w:keepNext w:val="0"/>
        <w:keepLines w:val="0"/>
        <w:pageBreakBefore w:val="0"/>
        <w:widowControl w:val="0"/>
        <w:numPr>
          <w:ilvl w:val="0"/>
          <w:numId w:val="0"/>
        </w:numPr>
        <w:kinsoku/>
        <w:wordWrap/>
        <w:overflowPunct/>
        <w:topLinePunct w:val="0"/>
        <w:bidi w:val="0"/>
        <w:spacing w:line="440" w:lineRule="exact"/>
        <w:ind w:firstLine="560" w:firstLineChars="200"/>
        <w:jc w:val="left"/>
        <w:textAlignment w:val="auto"/>
        <w:rPr>
          <w:rFonts w:hint="eastAsia"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kern w:val="2"/>
          <w:sz w:val="28"/>
          <w:szCs w:val="28"/>
          <w:highlight w:val="none"/>
          <w:lang w:val="en-US" w:eastAsia="zh-CN" w:bidi="ar-SA"/>
        </w:rPr>
        <w:t>一、</w:t>
      </w:r>
      <w:r>
        <w:rPr>
          <w:rFonts w:hint="eastAsia" w:ascii="仿宋_GB2312" w:hAnsi="仿宋_GB2312" w:eastAsia="仿宋_GB2312" w:cs="仿宋_GB2312"/>
          <w:color w:val="auto"/>
          <w:sz w:val="28"/>
          <w:szCs w:val="28"/>
          <w:highlight w:val="none"/>
          <w:lang w:val="en-US" w:eastAsia="zh-CN"/>
        </w:rPr>
        <w:t>项目</w:t>
      </w:r>
      <w:r>
        <w:rPr>
          <w:rFonts w:hint="eastAsia" w:ascii="仿宋_GB2312" w:hAnsi="仿宋_GB2312" w:eastAsia="仿宋_GB2312" w:cs="仿宋_GB2312"/>
          <w:color w:val="auto"/>
          <w:sz w:val="28"/>
          <w:szCs w:val="28"/>
          <w:highlight w:val="none"/>
        </w:rPr>
        <w:t>概况及</w:t>
      </w:r>
      <w:r>
        <w:rPr>
          <w:rFonts w:hint="eastAsia" w:ascii="仿宋_GB2312" w:hAnsi="仿宋_GB2312" w:eastAsia="仿宋_GB2312" w:cs="仿宋_GB2312"/>
          <w:color w:val="auto"/>
          <w:sz w:val="28"/>
          <w:szCs w:val="28"/>
          <w:highlight w:val="none"/>
          <w:lang w:val="en-US" w:eastAsia="zh-CN"/>
        </w:rPr>
        <w:t>经营权期限</w:t>
      </w:r>
    </w:p>
    <w:p w14:paraId="58E6C39D">
      <w:pPr>
        <w:keepNext w:val="0"/>
        <w:keepLines w:val="0"/>
        <w:pageBreakBefore w:val="0"/>
        <w:widowControl w:val="0"/>
        <w:kinsoku/>
        <w:wordWrap/>
        <w:overflowPunct/>
        <w:topLinePunct w:val="0"/>
        <w:bidi w:val="0"/>
        <w:spacing w:line="440" w:lineRule="exact"/>
        <w:ind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项目位于黑岗口调蓄水库银沙滩广场内，用于经营共享泡泡机10组、共享水枪10组。经营权期限为5年。</w:t>
      </w:r>
    </w:p>
    <w:p w14:paraId="408E15CF">
      <w:pPr>
        <w:keepNext w:val="0"/>
        <w:keepLines w:val="0"/>
        <w:pageBreakBefore w:val="0"/>
        <w:widowControl w:val="0"/>
        <w:numPr>
          <w:ilvl w:val="0"/>
          <w:numId w:val="1"/>
        </w:numPr>
        <w:kinsoku/>
        <w:wordWrap/>
        <w:overflowPunct/>
        <w:topLinePunct w:val="0"/>
        <w:bidi w:val="0"/>
        <w:spacing w:line="440" w:lineRule="exact"/>
        <w:ind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承包人应具备的基本条件及要求</w:t>
      </w:r>
    </w:p>
    <w:p w14:paraId="308582E2">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1、承租人为境内外企业法人、具有独立承担民事责任能力的其他组织和具有完全民事行为能力的自然人。</w:t>
      </w:r>
    </w:p>
    <w:p w14:paraId="28FD41B3">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2、经营要求承租人必须合法、文明经营，自负盈亏，承担经营过程中发生的一切税费及相关责任。</w:t>
      </w:r>
    </w:p>
    <w:p w14:paraId="42B157E0">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承租人对竞得的标的只有经营权，承包人自主负责共享泡泡机、共享水枪全流程运营管理，核心工作包含：游乐设备、合规泡泡液、水枪耗材采购验收、仓储存放；经营区域水电管控、场地保洁；设备日常清洁、消毒、检修维护；配备现场服务与设备管护人员，操作人员严格执行游乐设备安全操作规范，服务人员做好游客引导、使用讲解，杜绝设备故障、操作不当、服务疏漏引发游客人身伤害及投诉纠纷。</w:t>
      </w:r>
    </w:p>
    <w:p w14:paraId="79AC1733">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4、安全管理要求：承租人须建立完善游乐设备安全管理制度，保障项目安全平稳运营，具体要求如下： </w:t>
      </w:r>
    </w:p>
    <w:p w14:paraId="41B74D3C">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每日营业前开展经营区域全面安全排查：检查电路线路、充电设备、漏电防护装置、消防器材完好有效性；排查地面防滑、设备柜体稳固性，消除漏电、地面湿滑摔倒、设备倾倒等安全隐患；同步对泡泡机、水枪整机、管路、喷头、电池进行试运行检测，损坏、漏电、漏水设备立即停用检修。配置专职安全管理人员，明确岗位职责，负责现场安全巡查、玩水游客安全劝导、突发意外应急处置；如出现设备故障、游客滑倒、泡泡液入眼 / 误食、玩水冲突等情况，第一时间启动应急处置流程并上报甲方。</w:t>
      </w:r>
    </w:p>
    <w:p w14:paraId="60D11609">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5、承包人须足额投保经营相关商业保险，险种包含公众责任险、从业人员意外险，全面覆盖游客人身伤害、设备损毁、工作人员意外等风险。</w:t>
      </w:r>
    </w:p>
    <w:p w14:paraId="5C52CAB1">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6、经营区域醒目位置设置成套安全警示标识，内容涵盖玩水防护提示、儿童游玩监护提醒、泡泡液误食风险、用电安全、防滑防摔提示，标识图文清晰、尺寸醒目。</w:t>
      </w:r>
    </w:p>
    <w:p w14:paraId="40A3A4B9">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7、定期组织现场管护、服务人员开展安全培训，培训内容包含游乐设备操作规范、玩水应急救护、漏电处置、游客冲突调解、设备消杀防疫等内容，并留存培训记录。</w:t>
      </w:r>
    </w:p>
    <w:p w14:paraId="1E978DDD">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泡泡液、水枪耗材必须采购具备国家相关认证、无刺激性无毒合规产品，严禁使用三无劣质泡泡液，防止儿童皮肤过敏、误食中毒。设备每日闭场后全面擦拭、清水冲洗、消毒，定期更换老化密封圈、充电线路。</w:t>
      </w:r>
    </w:p>
    <w:p w14:paraId="06C4930B">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9、承包人设备摆放点位、围挡布置、配套装饰、宣传物料等方案，须提前报送开封西湖文旅投资有限公司审核，审核通过后方可进场布设、投入运营。</w:t>
      </w:r>
    </w:p>
    <w:p w14:paraId="685A4E17">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10、承包人自《拍卖成交确认书》签订之日起 20 个工作日内与发包方签订正式承包合同。签约前须一次性缴纳履约保证金1万元。合同终止/解除，承包人完整清空场地、交还全部自有及甲方配套设施并经甲方验收合格后7日内，甲方无息退还保证金；若承包人存在欠费、设备损坏、违约情形，甲方有权从保证金中抵扣相应费用。</w:t>
      </w:r>
    </w:p>
    <w:p w14:paraId="474C12BC">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11、经营期间严格遵守水库库区统一管理规定，严禁开展任何违法违规经营行为；全程做好亲子游客安全引导，重点看护低龄儿童玩水行为；保持经营点位及周边地面整洁，及时清理泡泡水渍、废弃耗材，不得污染水体、沙滩及公共环境；严格在划定运营范围内布设设备、开展租赁业务，严禁超范围经营、占道经营。</w:t>
      </w:r>
    </w:p>
    <w:p w14:paraId="31A6F7AB">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2D123C12">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7159EDD8">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4338540E">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320AB6B5">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4B32A20B">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18E67F74">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w:t>
      </w:r>
    </w:p>
    <w:p w14:paraId="41FA9453">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lang w:val="en-US" w:eastAsia="zh-CN"/>
        </w:rPr>
      </w:pPr>
    </w:p>
    <w:p w14:paraId="4A6001C2">
      <w:pPr>
        <w:keepNext w:val="0"/>
        <w:keepLines w:val="0"/>
        <w:pageBreakBefore w:val="0"/>
        <w:widowControl w:val="0"/>
        <w:kinsoku/>
        <w:wordWrap/>
        <w:overflowPunct/>
        <w:topLinePunct w:val="0"/>
        <w:bidi w:val="0"/>
        <w:spacing w:line="44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银沙滩广场共享泡泡机、共享水枪</w:t>
      </w:r>
    </w:p>
    <w:p w14:paraId="5CC48452">
      <w:pPr>
        <w:keepNext w:val="0"/>
        <w:keepLines w:val="0"/>
        <w:pageBreakBefore w:val="0"/>
        <w:widowControl w:val="0"/>
        <w:kinsoku/>
        <w:wordWrap/>
        <w:overflowPunct/>
        <w:topLinePunct w:val="0"/>
        <w:bidi w:val="0"/>
        <w:spacing w:line="44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经营权承包协议（模板）</w:t>
      </w:r>
    </w:p>
    <w:p w14:paraId="07FD4B8C">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1B47E638">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val="0"/>
          <w:bCs w:val="0"/>
          <w:color w:val="auto"/>
          <w:sz w:val="28"/>
          <w:szCs w:val="28"/>
          <w:highlight w:val="none"/>
          <w:u w:val="single"/>
        </w:rPr>
      </w:pPr>
      <w:r>
        <w:rPr>
          <w:rFonts w:hint="eastAsia" w:ascii="仿宋_GB2312" w:hAnsi="仿宋_GB2312" w:eastAsia="仿宋_GB2312" w:cs="仿宋_GB2312"/>
          <w:b/>
          <w:bCs/>
          <w:color w:val="auto"/>
          <w:sz w:val="28"/>
          <w:szCs w:val="28"/>
          <w:highlight w:val="none"/>
        </w:rPr>
        <w:t>甲方</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出租方</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val="0"/>
          <w:bCs w:val="0"/>
          <w:color w:val="auto"/>
          <w:sz w:val="28"/>
          <w:szCs w:val="28"/>
          <w:highlight w:val="none"/>
          <w:u w:val="single"/>
        </w:rPr>
        <w:t>开封西湖文旅投资有限公司</w:t>
      </w:r>
    </w:p>
    <w:p w14:paraId="3057BA34">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住址：</w:t>
      </w:r>
      <w:r>
        <w:rPr>
          <w:rFonts w:hint="eastAsia" w:ascii="仿宋_GB2312" w:hAnsi="仿宋_GB2312" w:eastAsia="仿宋_GB2312" w:cs="仿宋_GB2312"/>
          <w:color w:val="auto"/>
          <w:sz w:val="28"/>
          <w:szCs w:val="28"/>
          <w:highlight w:val="none"/>
          <w:u w:val="single"/>
        </w:rPr>
        <w:t>河南自贸试验区开封片区汉兴西路与八大街交叉口</w:t>
      </w:r>
    </w:p>
    <w:p w14:paraId="308F17C9">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bCs/>
          <w:color w:val="auto"/>
          <w:sz w:val="28"/>
          <w:szCs w:val="28"/>
          <w:highlight w:val="none"/>
          <w:u w:val="single"/>
        </w:rPr>
      </w:pPr>
      <w:r>
        <w:rPr>
          <w:rFonts w:hint="eastAsia" w:ascii="仿宋_GB2312" w:hAnsi="仿宋_GB2312" w:eastAsia="仿宋_GB2312" w:cs="仿宋_GB2312"/>
          <w:b/>
          <w:bCs/>
          <w:color w:val="auto"/>
          <w:sz w:val="28"/>
          <w:szCs w:val="28"/>
          <w:highlight w:val="none"/>
        </w:rPr>
        <w:t>统一社会信用代码：</w:t>
      </w:r>
      <w:r>
        <w:rPr>
          <w:rFonts w:hint="eastAsia" w:ascii="仿宋_GB2312" w:hAnsi="仿宋_GB2312" w:eastAsia="仿宋_GB2312" w:cs="仿宋_GB2312"/>
          <w:color w:val="auto"/>
          <w:sz w:val="28"/>
          <w:szCs w:val="28"/>
          <w:highlight w:val="none"/>
          <w:u w:val="single"/>
        </w:rPr>
        <w:t>914102003175043976</w:t>
      </w:r>
    </w:p>
    <w:p w14:paraId="7C904B03">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b/>
          <w:bCs/>
          <w:color w:val="auto"/>
          <w:sz w:val="28"/>
          <w:szCs w:val="28"/>
          <w:highlight w:val="none"/>
        </w:rPr>
        <w:t>乙方</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承租方</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rPr>
        <w:t>：</w:t>
      </w:r>
    </w:p>
    <w:p w14:paraId="55C3E89B">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住址：</w:t>
      </w:r>
    </w:p>
    <w:p w14:paraId="599DDD0B">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b/>
          <w:bCs/>
          <w:color w:val="auto"/>
          <w:sz w:val="28"/>
          <w:szCs w:val="28"/>
          <w:highlight w:val="none"/>
          <w:lang w:val="en-US" w:eastAsia="zh-CN"/>
        </w:rPr>
        <w:t>身份证号/统一社会信用代码：</w:t>
      </w:r>
    </w:p>
    <w:p w14:paraId="67E9749F">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b/>
          <w:bCs/>
          <w:color w:val="auto"/>
          <w:sz w:val="28"/>
          <w:szCs w:val="28"/>
          <w:highlight w:val="none"/>
          <w:lang w:val="en-US" w:eastAsia="zh-CN"/>
        </w:rPr>
        <w:t>手机号：</w:t>
      </w:r>
    </w:p>
    <w:p w14:paraId="6FA9C6F8">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根据《中华人民共和国民法典》等相关法律、法规的规定，甲、乙双方在“平等互利、协商一致”的基</w:t>
      </w:r>
      <w:r>
        <w:rPr>
          <w:rFonts w:hint="eastAsia" w:ascii="仿宋_GB2312" w:hAnsi="仿宋_GB2312" w:eastAsia="仿宋_GB2312" w:cs="仿宋_GB2312"/>
          <w:color w:val="auto"/>
          <w:sz w:val="28"/>
          <w:szCs w:val="28"/>
          <w:highlight w:val="none"/>
          <w:lang w:val="en-US" w:eastAsia="zh-CN"/>
        </w:rPr>
        <w:t>础上，就乙方承包</w:t>
      </w:r>
      <w:r>
        <w:rPr>
          <w:rFonts w:hint="eastAsia" w:ascii="仿宋_GB2312" w:hAnsi="仿宋_GB2312" w:eastAsia="仿宋_GB2312" w:cs="仿宋_GB2312"/>
          <w:color w:val="auto"/>
          <w:sz w:val="28"/>
          <w:szCs w:val="28"/>
          <w:highlight w:val="none"/>
        </w:rPr>
        <w:t>库区</w:t>
      </w:r>
      <w:r>
        <w:rPr>
          <w:rFonts w:hint="eastAsia" w:ascii="仿宋_GB2312" w:hAnsi="仿宋_GB2312" w:eastAsia="仿宋_GB2312" w:cs="仿宋_GB2312"/>
          <w:color w:val="auto"/>
          <w:sz w:val="28"/>
          <w:szCs w:val="28"/>
          <w:highlight w:val="none"/>
          <w:lang w:val="en-US" w:eastAsia="zh-CN"/>
        </w:rPr>
        <w:t>银沙滩广场共享泡泡机、共享水枪经营权一事，为明确双方的权利、义务及相关事宜，特订立如下</w:t>
      </w:r>
      <w:r>
        <w:rPr>
          <w:rFonts w:hint="eastAsia" w:ascii="仿宋_GB2312" w:hAnsi="仿宋_GB2312" w:eastAsia="仿宋_GB2312" w:cs="仿宋_GB2312"/>
          <w:color w:val="auto"/>
          <w:sz w:val="28"/>
          <w:szCs w:val="28"/>
          <w:highlight w:val="none"/>
        </w:rPr>
        <w:t>协议：</w:t>
      </w:r>
    </w:p>
    <w:p w14:paraId="5F4303C4">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rPr>
        <w:t>第一条：</w:t>
      </w:r>
      <w:r>
        <w:rPr>
          <w:rFonts w:hint="eastAsia" w:ascii="仿宋_GB2312" w:hAnsi="仿宋_GB2312" w:eastAsia="仿宋_GB2312" w:cs="仿宋_GB2312"/>
          <w:b/>
          <w:color w:val="auto"/>
          <w:sz w:val="28"/>
          <w:szCs w:val="28"/>
          <w:highlight w:val="none"/>
          <w:lang w:val="en-US" w:eastAsia="zh-CN"/>
        </w:rPr>
        <w:t>项目概况及经营权期限</w:t>
      </w:r>
      <w:r>
        <w:rPr>
          <w:rFonts w:hint="eastAsia" w:ascii="仿宋_GB2312" w:hAnsi="仿宋_GB2312" w:eastAsia="仿宋_GB2312" w:cs="仿宋_GB2312"/>
          <w:b/>
          <w:color w:val="auto"/>
          <w:sz w:val="28"/>
          <w:szCs w:val="28"/>
          <w:highlight w:val="none"/>
          <w:lang w:val="en-US" w:eastAsia="zh-CN"/>
        </w:rPr>
        <w:tab/>
      </w:r>
    </w:p>
    <w:p w14:paraId="5582007A">
      <w:pPr>
        <w:keepNext w:val="0"/>
        <w:keepLines w:val="0"/>
        <w:pageBreakBefore w:val="0"/>
        <w:widowControl w:val="0"/>
        <w:numPr>
          <w:ilvl w:val="0"/>
          <w:numId w:val="0"/>
        </w:numPr>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乙方承</w:t>
      </w:r>
      <w:r>
        <w:rPr>
          <w:rFonts w:hint="eastAsia" w:ascii="仿宋_GB2312" w:hAnsi="仿宋_GB2312" w:eastAsia="仿宋_GB2312" w:cs="仿宋_GB2312"/>
          <w:color w:val="auto"/>
          <w:sz w:val="28"/>
          <w:szCs w:val="28"/>
          <w:highlight w:val="none"/>
          <w:lang w:val="en-US" w:eastAsia="zh-CN"/>
        </w:rPr>
        <w:t>包甲方位于黑岗口调蓄水库银沙滩区域，可用于经营共享泡泡机10组、共享水枪10组。</w:t>
      </w:r>
    </w:p>
    <w:p w14:paraId="3AC4A172">
      <w:pPr>
        <w:keepNext w:val="0"/>
        <w:keepLines w:val="0"/>
        <w:pageBreakBefore w:val="0"/>
        <w:widowControl w:val="0"/>
        <w:numPr>
          <w:ilvl w:val="0"/>
          <w:numId w:val="0"/>
        </w:numPr>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该项目经营权期限为</w:t>
      </w:r>
      <w:r>
        <w:rPr>
          <w:rFonts w:hint="eastAsia" w:ascii="仿宋_GB2312" w:hAnsi="仿宋_GB2312" w:eastAsia="仿宋_GB2312" w:cs="仿宋_GB2312"/>
          <w:color w:val="auto"/>
          <w:sz w:val="28"/>
          <w:szCs w:val="28"/>
          <w:highlight w:val="none"/>
          <w:u w:val="single"/>
          <w:lang w:val="en-US" w:eastAsia="zh-CN"/>
        </w:rPr>
        <w:t>5年</w:t>
      </w:r>
      <w:r>
        <w:rPr>
          <w:rFonts w:hint="eastAsia" w:ascii="仿宋_GB2312" w:hAnsi="仿宋_GB2312" w:eastAsia="仿宋_GB2312" w:cs="仿宋_GB2312"/>
          <w:color w:val="auto"/>
          <w:sz w:val="28"/>
          <w:szCs w:val="28"/>
          <w:highlight w:val="none"/>
          <w:lang w:eastAsia="zh-CN"/>
        </w:rPr>
        <w:t>。</w:t>
      </w:r>
    </w:p>
    <w:p w14:paraId="1AB4A76B">
      <w:pPr>
        <w:keepNext w:val="0"/>
        <w:keepLines w:val="0"/>
        <w:pageBreakBefore w:val="0"/>
        <w:widowControl w:val="0"/>
        <w:numPr>
          <w:ilvl w:val="0"/>
          <w:numId w:val="0"/>
        </w:numPr>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rPr>
        <w:t>第二条：</w:t>
      </w:r>
      <w:r>
        <w:rPr>
          <w:rFonts w:hint="eastAsia" w:ascii="仿宋_GB2312" w:hAnsi="仿宋_GB2312" w:eastAsia="仿宋_GB2312" w:cs="仿宋_GB2312"/>
          <w:b/>
          <w:color w:val="auto"/>
          <w:sz w:val="28"/>
          <w:szCs w:val="28"/>
          <w:highlight w:val="none"/>
          <w:lang w:val="en-US" w:eastAsia="zh-CN"/>
        </w:rPr>
        <w:t>承包期限及免承包款期</w:t>
      </w:r>
    </w:p>
    <w:p w14:paraId="4F1B14B8">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1、经营权免承包款期为30天，自</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en-US" w:eastAsia="zh-CN" w:bidi="ar-SA"/>
        </w:rPr>
        <w:t>年</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en-US" w:eastAsia="zh-CN" w:bidi="ar-SA"/>
        </w:rPr>
        <w:t>月</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en-US" w:eastAsia="zh-CN" w:bidi="ar-SA"/>
        </w:rPr>
        <w:t>日至</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en-US" w:eastAsia="zh-CN" w:bidi="ar-SA"/>
        </w:rPr>
        <w:t>年</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en-US" w:eastAsia="zh-CN" w:bidi="ar-SA"/>
        </w:rPr>
        <w:t>月</w:t>
      </w:r>
      <w:r>
        <w:rPr>
          <w:rFonts w:hint="eastAsia" w:ascii="仿宋_GB2312" w:hAnsi="仿宋_GB2312" w:eastAsia="仿宋_GB2312" w:cs="仿宋_GB2312"/>
          <w:color w:val="auto"/>
          <w:kern w:val="2"/>
          <w:sz w:val="28"/>
          <w:szCs w:val="28"/>
          <w:highlight w:val="none"/>
          <w:u w:val="single"/>
          <w:lang w:val="en-US" w:eastAsia="zh-CN" w:bidi="ar-SA"/>
        </w:rPr>
        <w:t xml:space="preserve">   </w:t>
      </w:r>
      <w:r>
        <w:rPr>
          <w:rFonts w:hint="eastAsia" w:ascii="仿宋_GB2312" w:hAnsi="仿宋_GB2312" w:eastAsia="仿宋_GB2312" w:cs="仿宋_GB2312"/>
          <w:color w:val="auto"/>
          <w:kern w:val="2"/>
          <w:sz w:val="28"/>
          <w:szCs w:val="28"/>
          <w:highlight w:val="none"/>
          <w:lang w:val="en-US" w:eastAsia="zh-CN" w:bidi="ar-SA"/>
        </w:rPr>
        <w:t>日。</w:t>
      </w:r>
    </w:p>
    <w:p w14:paraId="2D267E5F">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经营权承包</w:t>
      </w:r>
      <w:r>
        <w:rPr>
          <w:rFonts w:hint="eastAsia" w:ascii="仿宋_GB2312" w:hAnsi="仿宋_GB2312" w:eastAsia="仿宋_GB2312" w:cs="仿宋_GB2312"/>
          <w:color w:val="auto"/>
          <w:sz w:val="28"/>
          <w:szCs w:val="28"/>
          <w:highlight w:val="none"/>
        </w:rPr>
        <w:t>期限为</w:t>
      </w:r>
      <w:r>
        <w:rPr>
          <w:rFonts w:hint="eastAsia" w:ascii="仿宋_GB2312" w:hAnsi="仿宋_GB2312" w:eastAsia="仿宋_GB2312" w:cs="仿宋_GB2312"/>
          <w:color w:val="auto"/>
          <w:sz w:val="28"/>
          <w:szCs w:val="28"/>
          <w:highlight w:val="none"/>
          <w:u w:val="none"/>
          <w:lang w:val="en-US" w:eastAsia="zh-CN"/>
        </w:rPr>
        <w:t>五年</w:t>
      </w:r>
      <w:r>
        <w:rPr>
          <w:rFonts w:hint="eastAsia" w:ascii="仿宋_GB2312" w:hAnsi="仿宋_GB2312" w:eastAsia="仿宋_GB2312" w:cs="仿宋_GB2312"/>
          <w:color w:val="auto"/>
          <w:sz w:val="28"/>
          <w:szCs w:val="28"/>
          <w:highlight w:val="none"/>
        </w:rPr>
        <w:t>，自</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日至</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p>
    <w:p w14:paraId="38CAC041">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第三条： 款项收取</w:t>
      </w:r>
      <w:r>
        <w:rPr>
          <w:rFonts w:hint="eastAsia" w:ascii="仿宋_GB2312" w:hAnsi="仿宋_GB2312" w:eastAsia="仿宋_GB2312" w:cs="仿宋_GB2312"/>
          <w:b/>
          <w:color w:val="auto"/>
          <w:sz w:val="28"/>
          <w:szCs w:val="28"/>
          <w:highlight w:val="none"/>
          <w:lang w:eastAsia="zh-CN"/>
        </w:rPr>
        <w:t>、</w:t>
      </w:r>
      <w:r>
        <w:rPr>
          <w:rFonts w:hint="eastAsia" w:ascii="仿宋_GB2312" w:hAnsi="仿宋_GB2312" w:eastAsia="仿宋_GB2312" w:cs="仿宋_GB2312"/>
          <w:b/>
          <w:color w:val="auto"/>
          <w:sz w:val="28"/>
          <w:szCs w:val="28"/>
          <w:highlight w:val="none"/>
        </w:rPr>
        <w:t>收益结算及履约保证金</w:t>
      </w:r>
    </w:p>
    <w:p w14:paraId="2CDD0DDF">
      <w:pPr>
        <w:pStyle w:val="2"/>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经营权</w:t>
      </w:r>
      <w:r>
        <w:rPr>
          <w:rFonts w:hint="eastAsia" w:ascii="仿宋_GB2312" w:hAnsi="仿宋_GB2312" w:eastAsia="仿宋_GB2312" w:cs="仿宋_GB2312"/>
          <w:color w:val="auto"/>
          <w:sz w:val="28"/>
          <w:szCs w:val="28"/>
          <w:highlight w:val="none"/>
        </w:rPr>
        <w:t>承包款为竞拍成交年承包款，即（人民币）大写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r>
        <w:rPr>
          <w:rFonts w:hint="eastAsia" w:ascii="仿宋_GB2312" w:hAnsi="仿宋_GB2312" w:eastAsia="仿宋_GB2312" w:cs="仿宋_GB2312"/>
          <w:color w:val="auto"/>
          <w:sz w:val="28"/>
          <w:szCs w:val="28"/>
          <w:highlight w:val="none"/>
        </w:rPr>
        <w:t>每年，小写：¥</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元/年，其中不含税金额（人民币）大写：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每年，小写：¥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元/年；税金（人民币）大写：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每年，小写：¥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元/年。</w:t>
      </w:r>
    </w:p>
    <w:p w14:paraId="0B338911">
      <w:pPr>
        <w:pStyle w:val="2"/>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履约保证金（人民币）大写：</w:t>
      </w:r>
      <w:r>
        <w:rPr>
          <w:rFonts w:hint="eastAsia" w:ascii="仿宋_GB2312" w:hAnsi="仿宋_GB2312" w:eastAsia="仿宋_GB2312" w:cs="仿宋_GB2312"/>
          <w:color w:val="auto"/>
          <w:sz w:val="28"/>
          <w:szCs w:val="28"/>
          <w:highlight w:val="none"/>
          <w:u w:val="single"/>
          <w:lang w:val="en-US" w:eastAsia="zh-CN"/>
        </w:rPr>
        <w:t>壹</w:t>
      </w:r>
      <w:r>
        <w:rPr>
          <w:rFonts w:hint="eastAsia" w:ascii="仿宋_GB2312" w:hAnsi="仿宋_GB2312" w:eastAsia="仿宋_GB2312" w:cs="仿宋_GB2312"/>
          <w:color w:val="auto"/>
          <w:sz w:val="28"/>
          <w:szCs w:val="28"/>
          <w:highlight w:val="none"/>
          <w:u w:val="single"/>
        </w:rPr>
        <w:t>万元整</w:t>
      </w:r>
      <w:r>
        <w:rPr>
          <w:rFonts w:hint="eastAsia" w:ascii="仿宋_GB2312" w:hAnsi="仿宋_GB2312" w:eastAsia="仿宋_GB2312" w:cs="仿宋_GB2312"/>
          <w:color w:val="auto"/>
          <w:sz w:val="28"/>
          <w:szCs w:val="28"/>
          <w:highlight w:val="none"/>
        </w:rPr>
        <w:t>，小写：¥</w:t>
      </w:r>
      <w:r>
        <w:rPr>
          <w:rFonts w:hint="eastAsia" w:ascii="仿宋_GB2312" w:hAnsi="仿宋_GB2312" w:eastAsia="仿宋_GB2312" w:cs="仿宋_GB2312"/>
          <w:color w:val="auto"/>
          <w:sz w:val="28"/>
          <w:szCs w:val="28"/>
          <w:highlight w:val="none"/>
          <w:u w:val="single"/>
          <w:lang w:val="en-US" w:eastAsia="zh-CN"/>
        </w:rPr>
        <w:t>1</w:t>
      </w:r>
      <w:r>
        <w:rPr>
          <w:rFonts w:hint="eastAsia" w:ascii="仿宋_GB2312" w:hAnsi="仿宋_GB2312" w:eastAsia="仿宋_GB2312" w:cs="仿宋_GB2312"/>
          <w:color w:val="auto"/>
          <w:sz w:val="28"/>
          <w:szCs w:val="28"/>
          <w:highlight w:val="none"/>
          <w:u w:val="single"/>
        </w:rPr>
        <w:t>0000</w:t>
      </w:r>
      <w:r>
        <w:rPr>
          <w:rFonts w:hint="eastAsia" w:ascii="仿宋_GB2312" w:hAnsi="仿宋_GB2312" w:eastAsia="仿宋_GB2312" w:cs="仿宋_GB2312"/>
          <w:color w:val="auto"/>
          <w:sz w:val="28"/>
          <w:szCs w:val="28"/>
          <w:highlight w:val="none"/>
        </w:rPr>
        <w:t>元。合同签订前乙方向甲方指定账户通过转账方式支付履约保证金。该履约保证金在合同终止或解除后</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自乙方按照甲方的要求交付场地完毕之日起7日内，</w:t>
      </w:r>
      <w:r>
        <w:rPr>
          <w:rFonts w:hint="eastAsia" w:ascii="仿宋_GB2312" w:hAnsi="仿宋_GB2312" w:eastAsia="仿宋_GB2312" w:cs="仿宋_GB2312"/>
          <w:color w:val="auto"/>
          <w:sz w:val="28"/>
          <w:szCs w:val="28"/>
          <w:highlight w:val="none"/>
        </w:rPr>
        <w:t>由甲方无息退还乙方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但乙方因</w:t>
      </w:r>
      <w:r>
        <w:rPr>
          <w:rFonts w:hint="eastAsia" w:ascii="仿宋_GB2312" w:hAnsi="仿宋_GB2312" w:eastAsia="仿宋_GB2312" w:cs="仿宋_GB2312"/>
          <w:color w:val="auto"/>
          <w:sz w:val="28"/>
          <w:szCs w:val="28"/>
          <w:highlight w:val="none"/>
          <w:lang w:eastAsia="zh-CN"/>
        </w:rPr>
        <w:t>欠缴</w:t>
      </w:r>
      <w:r>
        <w:rPr>
          <w:rFonts w:hint="eastAsia" w:ascii="仿宋_GB2312" w:hAnsi="仿宋_GB2312" w:eastAsia="仿宋_GB2312" w:cs="仿宋_GB2312"/>
          <w:color w:val="auto"/>
          <w:sz w:val="28"/>
          <w:szCs w:val="28"/>
          <w:highlight w:val="none"/>
        </w:rPr>
        <w:t>相关费用及违约被扣除部分除外。</w:t>
      </w:r>
    </w:p>
    <w:p w14:paraId="6FAE5D51">
      <w:pPr>
        <w:pStyle w:val="2"/>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上述租金不包括</w:t>
      </w:r>
      <w:r>
        <w:rPr>
          <w:rFonts w:hint="eastAsia" w:ascii="仿宋_GB2312" w:hAnsi="仿宋_GB2312" w:eastAsia="仿宋_GB2312" w:cs="仿宋_GB2312"/>
          <w:color w:val="auto"/>
          <w:sz w:val="28"/>
          <w:szCs w:val="28"/>
          <w:highlight w:val="none"/>
          <w:lang w:val="en-US" w:eastAsia="zh-CN"/>
        </w:rPr>
        <w:t>经营期间</w:t>
      </w:r>
      <w:r>
        <w:rPr>
          <w:rFonts w:hint="eastAsia" w:ascii="仿宋_GB2312" w:hAnsi="仿宋_GB2312" w:eastAsia="仿宋_GB2312" w:cs="仿宋_GB2312"/>
          <w:color w:val="auto"/>
          <w:sz w:val="28"/>
          <w:szCs w:val="28"/>
          <w:highlight w:val="none"/>
        </w:rPr>
        <w:t>用电、供水、垃圾处理、</w:t>
      </w:r>
      <w:bookmarkStart w:id="0" w:name="OLE_LINK1"/>
      <w:r>
        <w:rPr>
          <w:rFonts w:hint="eastAsia" w:ascii="仿宋_GB2312" w:hAnsi="仿宋_GB2312" w:eastAsia="仿宋_GB2312" w:cs="仿宋_GB2312"/>
          <w:color w:val="auto"/>
          <w:sz w:val="28"/>
          <w:szCs w:val="28"/>
          <w:highlight w:val="none"/>
        </w:rPr>
        <w:t>安全防护</w:t>
      </w:r>
      <w:bookmarkEnd w:id="0"/>
      <w:r>
        <w:rPr>
          <w:rFonts w:hint="eastAsia" w:ascii="仿宋_GB2312" w:hAnsi="仿宋_GB2312" w:eastAsia="仿宋_GB2312" w:cs="仿宋_GB2312"/>
          <w:color w:val="auto"/>
          <w:sz w:val="28"/>
          <w:szCs w:val="28"/>
          <w:highlight w:val="none"/>
        </w:rPr>
        <w:t>等</w:t>
      </w:r>
      <w:r>
        <w:rPr>
          <w:rFonts w:hint="eastAsia" w:ascii="仿宋_GB2312" w:hAnsi="仿宋_GB2312" w:eastAsia="仿宋_GB2312" w:cs="仿宋_GB2312"/>
          <w:color w:val="auto"/>
          <w:sz w:val="28"/>
          <w:szCs w:val="28"/>
          <w:highlight w:val="none"/>
          <w:lang w:val="en-US" w:eastAsia="zh-CN"/>
        </w:rPr>
        <w:t>其他</w:t>
      </w:r>
      <w:r>
        <w:rPr>
          <w:rFonts w:hint="eastAsia" w:ascii="仿宋_GB2312" w:hAnsi="仿宋_GB2312" w:eastAsia="仿宋_GB2312" w:cs="仿宋_GB2312"/>
          <w:color w:val="auto"/>
          <w:sz w:val="28"/>
          <w:szCs w:val="28"/>
          <w:highlight w:val="none"/>
        </w:rPr>
        <w:t>费用。用电、供水、垃圾处理、安全防护等费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用由乙方按照相关部门规定承担。</w:t>
      </w:r>
    </w:p>
    <w:p w14:paraId="13099D67">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付款方式：</w:t>
      </w:r>
    </w:p>
    <w:p w14:paraId="0EF0D25D">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第一年经营权承包款在本合同生效之日起7日内，由乙方支付至甲方指定账户；第二年至第五年</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kern w:val="2"/>
          <w:sz w:val="28"/>
          <w:szCs w:val="28"/>
          <w:highlight w:val="none"/>
          <w:lang w:val="en-US" w:eastAsia="zh-CN" w:bidi="ar-SA"/>
        </w:rPr>
        <w:t>经营权承包款分别于乙方前一年经营权承包期满30日前支付至甲方指定账户。</w:t>
      </w:r>
    </w:p>
    <w:p w14:paraId="1D336E81">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kern w:val="2"/>
          <w:sz w:val="28"/>
          <w:szCs w:val="28"/>
          <w:highlight w:val="none"/>
          <w:u w:val="singl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r>
        <w:rPr>
          <w:rFonts w:hint="eastAsia" w:ascii="仿宋_GB2312" w:hAnsi="仿宋_GB2312" w:eastAsia="仿宋_GB2312" w:cs="仿宋_GB2312"/>
          <w:color w:val="auto"/>
          <w:kern w:val="2"/>
          <w:sz w:val="28"/>
          <w:szCs w:val="28"/>
          <w:highlight w:val="none"/>
          <w:u w:val="single"/>
          <w:lang w:val="en-US" w:eastAsia="zh-CN" w:bidi="ar-SA"/>
        </w:rPr>
        <w:t xml:space="preserve">户名：开封西湖文旅投资有限公司   </w:t>
      </w:r>
    </w:p>
    <w:p w14:paraId="6B98A125">
      <w:pPr>
        <w:keepNext w:val="0"/>
        <w:keepLines w:val="0"/>
        <w:pageBreakBefore w:val="0"/>
        <w:widowControl w:val="0"/>
        <w:kinsoku/>
        <w:wordWrap/>
        <w:overflowPunct/>
        <w:topLinePunct w:val="0"/>
        <w:bidi w:val="0"/>
        <w:snapToGrid w:val="0"/>
        <w:spacing w:line="440" w:lineRule="exact"/>
        <w:ind w:firstLine="560" w:firstLineChars="200"/>
        <w:textAlignment w:val="auto"/>
        <w:rPr>
          <w:rFonts w:hint="eastAsia" w:ascii="仿宋_GB2312" w:hAnsi="仿宋_GB2312" w:eastAsia="仿宋_GB2312" w:cs="仿宋_GB2312"/>
          <w:color w:val="auto"/>
          <w:kern w:val="2"/>
          <w:sz w:val="28"/>
          <w:szCs w:val="28"/>
          <w:highlight w:val="none"/>
          <w:u w:val="singl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color w:val="auto"/>
          <w:kern w:val="2"/>
          <w:sz w:val="28"/>
          <w:szCs w:val="28"/>
          <w:highlight w:val="none"/>
          <w:u w:val="single"/>
          <w:lang w:val="en-US" w:eastAsia="zh-CN" w:bidi="ar-SA"/>
        </w:rPr>
        <w:t xml:space="preserve">开户行：浦发银行开封分行         </w:t>
      </w:r>
    </w:p>
    <w:p w14:paraId="42319197">
      <w:pPr>
        <w:keepNext w:val="0"/>
        <w:keepLines w:val="0"/>
        <w:pageBreakBefore w:val="0"/>
        <w:widowControl w:val="0"/>
        <w:kinsoku/>
        <w:wordWrap/>
        <w:overflowPunct/>
        <w:topLinePunct w:val="0"/>
        <w:bidi w:val="0"/>
        <w:snapToGrid w:val="0"/>
        <w:spacing w:line="440" w:lineRule="exact"/>
        <w:ind w:firstLine="560" w:firstLineChars="200"/>
        <w:textAlignment w:val="auto"/>
        <w:rPr>
          <w:rFonts w:hint="eastAsia" w:ascii="仿宋_GB2312" w:hAnsi="仿宋_GB2312" w:eastAsia="仿宋_GB2312" w:cs="仿宋_GB2312"/>
          <w:color w:val="auto"/>
          <w:kern w:val="2"/>
          <w:sz w:val="28"/>
          <w:szCs w:val="28"/>
          <w:highlight w:val="none"/>
          <w:u w:val="singl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w:t>
      </w:r>
      <w:r>
        <w:rPr>
          <w:rFonts w:hint="eastAsia" w:ascii="仿宋_GB2312" w:hAnsi="仿宋_GB2312" w:eastAsia="仿宋_GB2312" w:cs="仿宋_GB2312"/>
          <w:color w:val="auto"/>
          <w:kern w:val="2"/>
          <w:sz w:val="28"/>
          <w:szCs w:val="28"/>
          <w:highlight w:val="none"/>
          <w:u w:val="single"/>
          <w:lang w:val="en-US" w:eastAsia="zh-CN" w:bidi="ar-SA"/>
        </w:rPr>
        <w:t xml:space="preserve">银行账号：18610078801700001667   </w:t>
      </w:r>
    </w:p>
    <w:p w14:paraId="76F689FE">
      <w:pPr>
        <w:pStyle w:val="9"/>
        <w:keepNext w:val="0"/>
        <w:keepLines w:val="0"/>
        <w:pageBreakBefore w:val="0"/>
        <w:widowControl w:val="0"/>
        <w:kinsoku/>
        <w:wordWrap/>
        <w:overflowPunct/>
        <w:topLinePunct w:val="0"/>
        <w:bidi w:val="0"/>
        <w:spacing w:line="440" w:lineRule="exact"/>
        <w:ind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、甲方收取</w:t>
      </w:r>
      <w:r>
        <w:rPr>
          <w:rFonts w:hint="eastAsia" w:ascii="仿宋_GB2312" w:hAnsi="仿宋_GB2312" w:eastAsia="仿宋_GB2312" w:cs="仿宋_GB2312"/>
          <w:color w:val="auto"/>
          <w:sz w:val="28"/>
          <w:szCs w:val="28"/>
          <w:highlight w:val="none"/>
          <w:lang w:val="en-US" w:eastAsia="zh-CN"/>
        </w:rPr>
        <w:t>开封市公共资源交易中心的承包款</w:t>
      </w:r>
      <w:r>
        <w:rPr>
          <w:rFonts w:hint="eastAsia" w:ascii="仿宋_GB2312" w:hAnsi="仿宋_GB2312" w:eastAsia="仿宋_GB2312" w:cs="仿宋_GB2312"/>
          <w:color w:val="auto"/>
          <w:sz w:val="28"/>
          <w:szCs w:val="28"/>
          <w:highlight w:val="none"/>
        </w:rPr>
        <w:t>后须向乙方出具正式发票。</w:t>
      </w:r>
    </w:p>
    <w:p w14:paraId="6B18C2BE">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第四条：甲方权利与义务</w:t>
      </w:r>
    </w:p>
    <w:p w14:paraId="2FF3DB66">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1、甲方有权对乙方在本合同约定范围内经营管理行为的合法、合规性进行监督。</w:t>
      </w:r>
    </w:p>
    <w:p w14:paraId="3934B2F2">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CN"/>
        </w:rPr>
        <w:t>协助乙方用电相关事宜</w:t>
      </w:r>
      <w:r>
        <w:rPr>
          <w:rFonts w:hint="eastAsia" w:ascii="仿宋_GB2312" w:hAnsi="仿宋_GB2312" w:eastAsia="仿宋_GB2312" w:cs="仿宋_GB2312"/>
          <w:color w:val="auto"/>
          <w:sz w:val="28"/>
          <w:szCs w:val="28"/>
          <w:highlight w:val="none"/>
        </w:rPr>
        <w:t>。</w:t>
      </w:r>
    </w:p>
    <w:p w14:paraId="35C1AE0E">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3、甲方有权对乙方在项目运营过程中的</w:t>
      </w:r>
      <w:r>
        <w:rPr>
          <w:rFonts w:hint="eastAsia" w:ascii="仿宋_GB2312" w:hAnsi="仿宋_GB2312" w:eastAsia="仿宋_GB2312" w:cs="仿宋_GB2312"/>
          <w:color w:val="auto"/>
          <w:sz w:val="28"/>
          <w:szCs w:val="28"/>
          <w:highlight w:val="none"/>
          <w:lang w:val="en-US" w:eastAsia="zh-CN"/>
        </w:rPr>
        <w:t>设备安全</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运营规范、</w:t>
      </w:r>
      <w:r>
        <w:rPr>
          <w:rFonts w:hint="eastAsia" w:ascii="仿宋_GB2312" w:hAnsi="仿宋_GB2312" w:eastAsia="仿宋_GB2312" w:cs="仿宋_GB2312"/>
          <w:color w:val="auto"/>
          <w:sz w:val="28"/>
          <w:szCs w:val="28"/>
          <w:highlight w:val="none"/>
        </w:rPr>
        <w:t>环境卫生、人员健康、消防安全等方面进行检查，对不符合规定要求的，甲方有权要求乙方立即整改，并以书面形式通知乙方，</w:t>
      </w:r>
      <w:r>
        <w:rPr>
          <w:rFonts w:hint="eastAsia" w:ascii="仿宋_GB2312" w:hAnsi="仿宋_GB2312" w:eastAsia="仿宋_GB2312" w:cs="仿宋_GB2312"/>
          <w:color w:val="auto"/>
          <w:sz w:val="28"/>
          <w:szCs w:val="28"/>
          <w:highlight w:val="none"/>
          <w:lang w:val="en-US" w:eastAsia="zh-CN"/>
        </w:rPr>
        <w:t>如</w:t>
      </w:r>
      <w:r>
        <w:rPr>
          <w:rFonts w:hint="eastAsia" w:ascii="仿宋_GB2312" w:hAnsi="仿宋_GB2312" w:eastAsia="仿宋_GB2312" w:cs="仿宋_GB2312"/>
          <w:i w:val="0"/>
          <w:iCs w:val="0"/>
          <w:caps w:val="0"/>
          <w:color w:val="auto"/>
          <w:spacing w:val="0"/>
          <w:sz w:val="28"/>
          <w:szCs w:val="28"/>
          <w:highlight w:val="none"/>
          <w:shd w:val="clear"/>
        </w:rPr>
        <w:t>连续两次出现同类问题，或单次出现的问题情节严重（包括但不限于涉及重大安全、卫生或环境污染事故，或受到政府主管部门行政处罚）</w:t>
      </w:r>
      <w:r>
        <w:rPr>
          <w:rFonts w:hint="eastAsia" w:ascii="仿宋_GB2312" w:hAnsi="仿宋_GB2312" w:eastAsia="仿宋_GB2312" w:cs="仿宋_GB2312"/>
          <w:i w:val="0"/>
          <w:iCs w:val="0"/>
          <w:caps w:val="0"/>
          <w:color w:val="auto"/>
          <w:spacing w:val="0"/>
          <w:sz w:val="28"/>
          <w:szCs w:val="28"/>
          <w:highlight w:val="none"/>
          <w:shd w:val="clear"/>
          <w:lang w:eastAsia="zh-CN"/>
        </w:rPr>
        <w:t>，</w:t>
      </w:r>
      <w:r>
        <w:rPr>
          <w:rFonts w:hint="eastAsia" w:ascii="仿宋_GB2312" w:hAnsi="仿宋_GB2312" w:eastAsia="仿宋_GB2312" w:cs="仿宋_GB2312"/>
          <w:i w:val="0"/>
          <w:iCs w:val="0"/>
          <w:caps w:val="0"/>
          <w:color w:val="auto"/>
          <w:spacing w:val="0"/>
          <w:sz w:val="28"/>
          <w:szCs w:val="28"/>
          <w:highlight w:val="none"/>
          <w:shd w:val="clear"/>
          <w:lang w:val="en-US" w:eastAsia="zh-CN"/>
        </w:rPr>
        <w:t>甲方有权单方面</w:t>
      </w:r>
      <w:r>
        <w:rPr>
          <w:rFonts w:hint="eastAsia" w:ascii="仿宋_GB2312" w:hAnsi="仿宋_GB2312" w:eastAsia="仿宋_GB2312" w:cs="仿宋_GB2312"/>
          <w:color w:val="auto"/>
          <w:sz w:val="28"/>
          <w:szCs w:val="28"/>
          <w:highlight w:val="none"/>
        </w:rPr>
        <w:t>解除合同，并视作乙方违约。</w:t>
      </w:r>
    </w:p>
    <w:p w14:paraId="623F1524">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4、甲方提供的项目相关设施设备所有权归属甲方。</w:t>
      </w:r>
    </w:p>
    <w:p w14:paraId="291AFFEA">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val="en-US" w:eastAsia="zh-CN"/>
        </w:rPr>
        <w:t>经营权承包</w:t>
      </w:r>
      <w:r>
        <w:rPr>
          <w:rFonts w:hint="eastAsia" w:ascii="仿宋_GB2312" w:hAnsi="仿宋_GB2312" w:eastAsia="仿宋_GB2312" w:cs="仿宋_GB2312"/>
          <w:color w:val="auto"/>
          <w:sz w:val="28"/>
          <w:szCs w:val="28"/>
          <w:highlight w:val="none"/>
        </w:rPr>
        <w:t>期结束或</w:t>
      </w:r>
      <w:r>
        <w:rPr>
          <w:rFonts w:hint="eastAsia" w:ascii="仿宋_GB2312" w:hAnsi="仿宋_GB2312" w:eastAsia="仿宋_GB2312" w:cs="仿宋_GB2312"/>
          <w:color w:val="auto"/>
          <w:sz w:val="28"/>
          <w:szCs w:val="28"/>
          <w:highlight w:val="none"/>
          <w:lang w:val="en-US" w:eastAsia="zh-CN"/>
        </w:rPr>
        <w:t>经营权承包</w:t>
      </w:r>
      <w:r>
        <w:rPr>
          <w:rFonts w:hint="eastAsia" w:ascii="仿宋_GB2312" w:hAnsi="仿宋_GB2312" w:eastAsia="仿宋_GB2312" w:cs="仿宋_GB2312"/>
          <w:color w:val="auto"/>
          <w:sz w:val="28"/>
          <w:szCs w:val="28"/>
          <w:highlight w:val="none"/>
        </w:rPr>
        <w:t>期间终止合同时，收验附属设施；收验合格，费用结清，办理收验交接手续。</w:t>
      </w:r>
    </w:p>
    <w:p w14:paraId="0BD874D3">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lang w:val="en-US" w:eastAsia="zh-CN"/>
        </w:rPr>
        <w:t>经营权承包</w:t>
      </w:r>
      <w:r>
        <w:rPr>
          <w:rFonts w:hint="eastAsia" w:ascii="仿宋_GB2312" w:hAnsi="仿宋_GB2312" w:eastAsia="仿宋_GB2312" w:cs="仿宋_GB2312"/>
          <w:color w:val="auto"/>
          <w:sz w:val="28"/>
          <w:szCs w:val="28"/>
          <w:highlight w:val="none"/>
        </w:rPr>
        <w:t>期间内遇不可抗力、水库规划调整、政府行为、相关政策变化或行业主管部门政策需终止合同的，甲方应当及时通知乙方解除协议，并无需承担任何违约责任；乙方应当在接到甲方通知后</w:t>
      </w:r>
      <w:r>
        <w:rPr>
          <w:rFonts w:hint="eastAsia" w:ascii="仿宋_GB2312" w:hAnsi="仿宋_GB2312" w:eastAsia="仿宋_GB2312" w:cs="仿宋_GB2312"/>
          <w:color w:val="auto"/>
          <w:sz w:val="28"/>
          <w:szCs w:val="28"/>
          <w:highlight w:val="none"/>
          <w:lang w:val="en-US" w:eastAsia="zh-CN"/>
        </w:rPr>
        <w:t>一个月</w:t>
      </w:r>
      <w:r>
        <w:rPr>
          <w:rFonts w:hint="eastAsia" w:ascii="仿宋_GB2312" w:hAnsi="仿宋_GB2312" w:eastAsia="仿宋_GB2312" w:cs="仿宋_GB2312"/>
          <w:color w:val="auto"/>
          <w:sz w:val="28"/>
          <w:szCs w:val="28"/>
          <w:highlight w:val="none"/>
        </w:rPr>
        <w:t>内</w:t>
      </w:r>
      <w:r>
        <w:rPr>
          <w:rFonts w:hint="eastAsia" w:ascii="仿宋_GB2312" w:hAnsi="仿宋_GB2312" w:eastAsia="仿宋_GB2312" w:cs="仿宋_GB2312"/>
          <w:color w:val="auto"/>
          <w:sz w:val="28"/>
          <w:szCs w:val="28"/>
          <w:highlight w:val="none"/>
          <w:lang w:val="en-US" w:eastAsia="zh-CN"/>
        </w:rPr>
        <w:t>办理退租手续</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乙方已支付的预缴纳保底租金，甲方按照乙方实际使用时间结算后无息退还剩余部分；履约保证金在乙方结清所有费用且场地交接完毕后无息退还。</w:t>
      </w:r>
      <w:r>
        <w:rPr>
          <w:rFonts w:hint="eastAsia" w:ascii="仿宋_GB2312" w:hAnsi="仿宋_GB2312" w:eastAsia="仿宋_GB2312" w:cs="仿宋_GB2312"/>
          <w:color w:val="auto"/>
          <w:sz w:val="28"/>
          <w:szCs w:val="28"/>
          <w:highlight w:val="none"/>
        </w:rPr>
        <w:t>乙方不得就本协议的解除向甲方主张任何形式的补偿、赔偿或损失</w:t>
      </w:r>
      <w:r>
        <w:rPr>
          <w:rFonts w:hint="eastAsia" w:ascii="仿宋_GB2312" w:hAnsi="仿宋_GB2312" w:eastAsia="仿宋_GB2312" w:cs="仿宋_GB2312"/>
          <w:color w:val="auto"/>
          <w:sz w:val="28"/>
          <w:szCs w:val="28"/>
          <w:highlight w:val="none"/>
          <w:lang w:eastAsia="zh-CN"/>
        </w:rPr>
        <w:t>。</w:t>
      </w:r>
    </w:p>
    <w:p w14:paraId="0A067AB4">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第五条：乙方权利和义务</w:t>
      </w:r>
    </w:p>
    <w:p w14:paraId="359DF9C6">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乙方应在本合同签订之日起，在约定的经营权免承包款期内完成该项目的进场工作，乙方的经营业态及装饰装修方案，需上报甲方审核通过，方可进行入场装修。</w:t>
      </w:r>
    </w:p>
    <w:p w14:paraId="0883E51E">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、严格执行国家法律法规和甲方的相关管理规定，且只能在本次中标之范围内合法文明经营，不得超区域或占道经营。</w:t>
      </w:r>
    </w:p>
    <w:p w14:paraId="46F96E9D">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、科学合理使用</w:t>
      </w:r>
      <w:r>
        <w:rPr>
          <w:rFonts w:hint="eastAsia" w:ascii="仿宋_GB2312" w:hAnsi="仿宋_GB2312" w:eastAsia="仿宋_GB2312" w:cs="仿宋_GB2312"/>
          <w:color w:val="auto"/>
          <w:sz w:val="28"/>
          <w:szCs w:val="28"/>
          <w:highlight w:val="none"/>
          <w:lang w:val="en-US" w:eastAsia="zh-CN"/>
        </w:rPr>
        <w:t>经营场地</w:t>
      </w:r>
      <w:r>
        <w:rPr>
          <w:rFonts w:hint="eastAsia" w:ascii="仿宋_GB2312" w:hAnsi="仿宋_GB2312" w:eastAsia="仿宋_GB2312" w:cs="仿宋_GB2312"/>
          <w:color w:val="auto"/>
          <w:sz w:val="28"/>
          <w:szCs w:val="28"/>
          <w:highlight w:val="none"/>
        </w:rPr>
        <w:t>，负责</w:t>
      </w:r>
      <w:r>
        <w:rPr>
          <w:rFonts w:hint="eastAsia" w:ascii="仿宋_GB2312" w:hAnsi="仿宋_GB2312" w:eastAsia="仿宋_GB2312" w:cs="仿宋_GB2312"/>
          <w:color w:val="auto"/>
          <w:sz w:val="28"/>
          <w:szCs w:val="28"/>
          <w:highlight w:val="none"/>
          <w:lang w:val="en-US" w:eastAsia="zh-CN"/>
        </w:rPr>
        <w:t>经营权承包</w:t>
      </w:r>
      <w:r>
        <w:rPr>
          <w:rFonts w:hint="eastAsia" w:ascii="仿宋_GB2312" w:hAnsi="仿宋_GB2312" w:eastAsia="仿宋_GB2312" w:cs="仿宋_GB2312"/>
          <w:color w:val="auto"/>
          <w:sz w:val="28"/>
          <w:szCs w:val="28"/>
          <w:highlight w:val="none"/>
        </w:rPr>
        <w:t>期间的一切安全责任及纠纷。一旦出现安全责任事故及纠纷，由此造成的一切法律后果均由乙方承担。</w:t>
      </w:r>
    </w:p>
    <w:p w14:paraId="6A155825">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、接受甲方及政府职能机构对经营范围、卫生、质量、价格、广告、服务等方面的监督、检查，并服从管理，及时整改。</w:t>
      </w:r>
    </w:p>
    <w:p w14:paraId="4FE37ED9">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按库区电费收费标准规定及时向甲方交纳电费。</w:t>
      </w:r>
    </w:p>
    <w:p w14:paraId="0F91B579">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、保持</w:t>
      </w:r>
      <w:r>
        <w:rPr>
          <w:rFonts w:hint="eastAsia" w:ascii="仿宋_GB2312" w:hAnsi="仿宋_GB2312" w:eastAsia="仿宋_GB2312" w:cs="仿宋_GB2312"/>
          <w:color w:val="auto"/>
          <w:sz w:val="28"/>
          <w:szCs w:val="28"/>
          <w:highlight w:val="none"/>
          <w:lang w:val="en-US" w:eastAsia="zh-CN"/>
        </w:rPr>
        <w:t>经营区域的环境卫生不受损坏，并负责日常维修维护，不得在经营区域私搭乱建，破坏绿地及周边配套设施等行为。禁止乙方在经营区域内搭建任何固定性建筑。发生前述任何情形时，甲方均有权立即单方解除本协议，并根据相关行政部门的要求，乙方在限期拆除搭建物、恢复场地原状。</w:t>
      </w:r>
    </w:p>
    <w:p w14:paraId="6728416C">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rPr>
        <w:t>、自行办理营业执照、相关行业证照、税务登记等证照，承担经营所发生的一切税费并承担相关责任，并在经营过程中规范用工，因乙方违法违规经营或其他违法违规行为造成的后果及损失由乙方自行承担。</w:t>
      </w:r>
    </w:p>
    <w:p w14:paraId="08373C85">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乙方须依法办理经营</w:t>
      </w:r>
      <w:r>
        <w:rPr>
          <w:rFonts w:hint="eastAsia" w:ascii="仿宋_GB2312" w:hAnsi="仿宋_GB2312" w:eastAsia="仿宋_GB2312" w:cs="仿宋_GB2312"/>
          <w:color w:val="auto"/>
          <w:sz w:val="28"/>
          <w:szCs w:val="28"/>
          <w:highlight w:val="none"/>
          <w:lang w:val="en-US" w:eastAsia="zh-CN"/>
        </w:rPr>
        <w:t>所需全部手续，包括但不限于</w:t>
      </w:r>
      <w:r>
        <w:rPr>
          <w:rFonts w:hint="eastAsia" w:ascii="仿宋_GB2312" w:hAnsi="仿宋_GB2312" w:eastAsia="仿宋_GB2312" w:cs="仿宋_GB2312"/>
          <w:color w:val="auto"/>
          <w:sz w:val="28"/>
          <w:szCs w:val="28"/>
          <w:highlight w:val="none"/>
        </w:rPr>
        <w:t>防疫、环评、消防等，取得相关行政许可后方可开展经营活动，相关费用及责任由乙方自行承担。</w:t>
      </w:r>
    </w:p>
    <w:p w14:paraId="0E62A8D9">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color w:val="auto"/>
          <w:sz w:val="28"/>
          <w:szCs w:val="28"/>
          <w:highlight w:val="none"/>
        </w:rPr>
        <w:t>、经营服务标准必须符合行业规范，经营服务人员经营工作期间必须着装整齐、言行文明，不得有酗酒等不文明行为，符合甲方企业文化和服务规范要求。乙方所有的经营活动，不得有损甲方的市场形象及生态环境。</w:t>
      </w:r>
    </w:p>
    <w:p w14:paraId="79F453C9">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经营权承包</w:t>
      </w:r>
      <w:r>
        <w:rPr>
          <w:rFonts w:hint="eastAsia" w:ascii="仿宋_GB2312" w:hAnsi="仿宋_GB2312" w:eastAsia="仿宋_GB2312" w:cs="仿宋_GB2312"/>
          <w:color w:val="auto"/>
          <w:sz w:val="28"/>
          <w:szCs w:val="28"/>
          <w:highlight w:val="none"/>
        </w:rPr>
        <w:t>期间，乙方对经营安全负全部责任，自行采取防火、防盗等安全措施。加强用电安全，不得乱拖、乱接电线；乙方所造成的一切安全隐患（包括但不限于任何人身损害、财产损失），由乙方承担全责。</w:t>
      </w:r>
    </w:p>
    <w:p w14:paraId="2D3F46BF">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11</w:t>
      </w:r>
      <w:r>
        <w:rPr>
          <w:rFonts w:hint="eastAsia" w:ascii="仿宋_GB2312" w:hAnsi="仿宋_GB2312" w:eastAsia="仿宋_GB2312" w:cs="仿宋_GB2312"/>
          <w:color w:val="auto"/>
          <w:sz w:val="28"/>
          <w:szCs w:val="28"/>
          <w:highlight w:val="none"/>
        </w:rPr>
        <w:t>、乙方不得将</w:t>
      </w:r>
      <w:r>
        <w:rPr>
          <w:rFonts w:hint="eastAsia" w:ascii="仿宋_GB2312" w:hAnsi="仿宋_GB2312" w:eastAsia="仿宋_GB2312" w:cs="仿宋_GB2312"/>
          <w:color w:val="auto"/>
          <w:sz w:val="28"/>
          <w:szCs w:val="28"/>
          <w:highlight w:val="none"/>
          <w:lang w:val="en-US" w:eastAsia="zh-CN"/>
        </w:rPr>
        <w:t>该项目经营权</w:t>
      </w:r>
      <w:r>
        <w:rPr>
          <w:rFonts w:hint="eastAsia" w:ascii="仿宋_GB2312" w:hAnsi="仿宋_GB2312" w:eastAsia="仿宋_GB2312" w:cs="仿宋_GB2312"/>
          <w:color w:val="auto"/>
          <w:sz w:val="28"/>
          <w:szCs w:val="28"/>
          <w:highlight w:val="none"/>
        </w:rPr>
        <w:t>转让给第三方，不得将</w:t>
      </w:r>
      <w:r>
        <w:rPr>
          <w:rFonts w:hint="eastAsia" w:ascii="仿宋_GB2312" w:hAnsi="仿宋_GB2312" w:eastAsia="仿宋_GB2312" w:cs="仿宋_GB2312"/>
          <w:color w:val="auto"/>
          <w:sz w:val="28"/>
          <w:szCs w:val="28"/>
          <w:highlight w:val="none"/>
          <w:lang w:val="en-US" w:eastAsia="zh-CN"/>
        </w:rPr>
        <w:t>经营权承包场地</w:t>
      </w:r>
      <w:r>
        <w:rPr>
          <w:rFonts w:hint="eastAsia" w:ascii="仿宋_GB2312" w:hAnsi="仿宋_GB2312" w:eastAsia="仿宋_GB2312" w:cs="仿宋_GB2312"/>
          <w:color w:val="auto"/>
          <w:sz w:val="28"/>
          <w:szCs w:val="28"/>
          <w:highlight w:val="none"/>
        </w:rPr>
        <w:t>用作抵（质）押、转让，不得以甲方名义进行经营和广告宣传活动。</w:t>
      </w:r>
    </w:p>
    <w:p w14:paraId="76E1D5F6">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、乙方需做好项目运营区域及周边的环境保护及卫生清理工作，</w:t>
      </w:r>
    </w:p>
    <w:p w14:paraId="50DA2AA3">
      <w:pPr>
        <w:keepNext w:val="0"/>
        <w:keepLines w:val="0"/>
        <w:pageBreakBefore w:val="0"/>
        <w:widowControl w:val="0"/>
        <w:kinsoku/>
        <w:wordWrap/>
        <w:overflowPunct/>
        <w:topLinePunct w:val="0"/>
        <w:bidi w:val="0"/>
        <w:spacing w:line="440" w:lineRule="exact"/>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如因乙方运营原因造成周边环境（如绿化、地面铺装等）破坏或污染，维修及更换费用由乙方承担。</w:t>
      </w:r>
    </w:p>
    <w:p w14:paraId="5CA29B2F">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、乙方经营期间所雇佣的工作人员的工资、福利待遇、工伤、医疗、养老等保险费用及其他费用、工作人员人身财产安全均由乙方负责。乙方保证所雇佣人员符合相关法律法规的资质要求。</w:t>
      </w:r>
    </w:p>
    <w:p w14:paraId="5E06F98C">
      <w:pPr>
        <w:keepNext w:val="0"/>
        <w:keepLines w:val="0"/>
        <w:pageBreakBefore w:val="0"/>
        <w:widowControl w:val="0"/>
        <w:kinsoku/>
        <w:wordWrap/>
        <w:overflowPunct/>
        <w:topLinePunct w:val="0"/>
        <w:bidi w:val="0"/>
        <w:spacing w:line="440" w:lineRule="exact"/>
        <w:ind w:left="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、在经营过程中，如乙方出现其他经济问题，乙方自行处理与</w:t>
      </w:r>
    </w:p>
    <w:p w14:paraId="73088E4A">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甲方无关，若因乙方原因导致项目无法正常运营或对甲方造成不利影响的（包括但不限于因乙方与第三人纠纷导致甲方需协助法院执行或对其他机关进行协助的），甲方有权立即解除合同。</w:t>
      </w:r>
    </w:p>
    <w:p w14:paraId="66857E64">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15、承租人须建立完善游乐设备安全管理制度，保障项目安全平稳运营，具体要求如下： </w:t>
      </w:r>
    </w:p>
    <w:p w14:paraId="5E5FA5D1">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每日营业前开展经营区域全面安全排查：检查电路线路、充电设备、漏电防护装置、消防器材完好有效性；排查地面防滑、设备柜体稳固性，消除漏电、地面湿滑摔倒、设备倾倒等安全隐患；同步对泡泡机、水枪整机、管路、喷头、电池进行试运行检测，损坏、漏电、漏水设备立即停用检修。</w:t>
      </w:r>
    </w:p>
    <w:p w14:paraId="0A80DC16">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配置专职安全管理人员，明确岗位职责，负责现场安全巡查、玩水游客安全劝导、突发意外应急处置；如出现设备故障、游客滑倒、泡泡液入眼/误食、玩水冲突等情况，第一时间启动应急处置流程并上报甲方。</w:t>
      </w:r>
    </w:p>
    <w:p w14:paraId="74FB96F3">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16、承包人须足额投保经营相关商业保险，险种包含公众责任险、从业人员意外险，全面覆盖游客人身伤害、设备损毁、工作人员意外等风险。</w:t>
      </w:r>
    </w:p>
    <w:p w14:paraId="56BC76F9">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17、经营区域醒目位置设置成套安全警示标识，内容涵盖玩水防护提示、儿童游玩监护提醒、泡泡液误食风险、用电安全、防滑防摔提示，标识图文清晰、尺寸醒目。</w:t>
      </w:r>
    </w:p>
    <w:p w14:paraId="0F92743B">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18、定期组织现场管护、服务人员开展安全培训，培训内容包含游乐设备操作规范、玩水应急救护、漏电处置、游客冲突调解、设备消杀防疫等内容，并留</w:t>
      </w:r>
      <w:bookmarkStart w:id="1" w:name="_GoBack"/>
      <w:bookmarkEnd w:id="1"/>
      <w:r>
        <w:rPr>
          <w:rFonts w:hint="eastAsia" w:ascii="仿宋_GB2312" w:hAnsi="仿宋_GB2312" w:eastAsia="仿宋_GB2312" w:cs="仿宋_GB2312"/>
          <w:color w:val="auto"/>
          <w:sz w:val="28"/>
          <w:szCs w:val="28"/>
          <w:highlight w:val="none"/>
          <w:lang w:val="en-US" w:eastAsia="zh-CN"/>
        </w:rPr>
        <w:t>存培训记录。</w:t>
      </w:r>
    </w:p>
    <w:p w14:paraId="5ACBFB22">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19、泡泡液、水枪耗材必须采购具备国家相关认证、无刺激性无毒合规产品，严禁使用三无劣质泡泡液，防止儿童皮肤过敏、误食中毒。设备每日闭场后全面擦拭、清水冲洗、消毒，定期更换老化密封圈、充电线路。</w:t>
      </w:r>
    </w:p>
    <w:p w14:paraId="5D1AA9F1">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第六条：违约责任</w:t>
      </w:r>
    </w:p>
    <w:p w14:paraId="75BA98B5">
      <w:pPr>
        <w:keepNext w:val="0"/>
        <w:keepLines w:val="0"/>
        <w:pageBreakBefore w:val="0"/>
        <w:widowControl w:val="0"/>
        <w:numPr>
          <w:ilvl w:val="0"/>
          <w:numId w:val="2"/>
        </w:numPr>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乙方未能按期缴纳</w:t>
      </w:r>
      <w:r>
        <w:rPr>
          <w:rFonts w:hint="eastAsia" w:ascii="仿宋_GB2312" w:hAnsi="仿宋_GB2312" w:eastAsia="仿宋_GB2312" w:cs="仿宋_GB2312"/>
          <w:color w:val="auto"/>
          <w:sz w:val="28"/>
          <w:szCs w:val="28"/>
          <w:highlight w:val="none"/>
          <w:lang w:val="en-US" w:eastAsia="zh-CN"/>
        </w:rPr>
        <w:t>经营权承包款</w:t>
      </w:r>
      <w:r>
        <w:rPr>
          <w:rFonts w:hint="eastAsia" w:ascii="仿宋_GB2312" w:hAnsi="仿宋_GB2312" w:eastAsia="仿宋_GB2312" w:cs="仿宋_GB2312"/>
          <w:color w:val="auto"/>
          <w:sz w:val="28"/>
          <w:szCs w:val="28"/>
          <w:highlight w:val="none"/>
        </w:rPr>
        <w:t>的，每逾期一日应按照应付年</w:t>
      </w:r>
      <w:r>
        <w:rPr>
          <w:rFonts w:hint="eastAsia" w:ascii="仿宋_GB2312" w:hAnsi="仿宋_GB2312" w:eastAsia="仿宋_GB2312" w:cs="仿宋_GB2312"/>
          <w:color w:val="auto"/>
          <w:sz w:val="28"/>
          <w:szCs w:val="28"/>
          <w:highlight w:val="none"/>
          <w:lang w:val="en-US" w:eastAsia="zh-CN"/>
        </w:rPr>
        <w:t>经营权承包款</w:t>
      </w:r>
      <w:r>
        <w:rPr>
          <w:rFonts w:hint="eastAsia" w:ascii="仿宋_GB2312" w:hAnsi="仿宋_GB2312" w:eastAsia="仿宋_GB2312" w:cs="仿宋_GB2312"/>
          <w:color w:val="auto"/>
          <w:sz w:val="28"/>
          <w:szCs w:val="28"/>
          <w:highlight w:val="none"/>
        </w:rPr>
        <w:t>万分之五的标准向甲方支付违约金，逾期超过30日的，甲方有权单方解除合同。乙方应在合同解除之日起七日内将</w:t>
      </w:r>
      <w:r>
        <w:rPr>
          <w:rFonts w:hint="eastAsia" w:ascii="仿宋_GB2312" w:hAnsi="仿宋_GB2312" w:eastAsia="仿宋_GB2312" w:cs="仿宋_GB2312"/>
          <w:color w:val="auto"/>
          <w:sz w:val="28"/>
          <w:szCs w:val="28"/>
          <w:highlight w:val="none"/>
          <w:lang w:val="en-US" w:eastAsia="zh-CN"/>
        </w:rPr>
        <w:t>运营</w:t>
      </w:r>
      <w:r>
        <w:rPr>
          <w:rFonts w:hint="eastAsia" w:ascii="仿宋_GB2312" w:hAnsi="仿宋_GB2312" w:eastAsia="仿宋_GB2312" w:cs="仿宋_GB2312"/>
          <w:color w:val="auto"/>
          <w:sz w:val="28"/>
          <w:szCs w:val="28"/>
          <w:highlight w:val="none"/>
        </w:rPr>
        <w:t>场地恢复原状交付甲方，每逾期一日，乙方应向甲方缴纳每日1000元违约金。</w:t>
      </w:r>
    </w:p>
    <w:p w14:paraId="22AA5E54">
      <w:pPr>
        <w:keepNext w:val="0"/>
        <w:keepLines w:val="0"/>
        <w:pageBreakBefore w:val="0"/>
        <w:widowControl w:val="0"/>
        <w:numPr>
          <w:ilvl w:val="0"/>
          <w:numId w:val="2"/>
        </w:numPr>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租赁期间严禁乙方擅自终止</w:t>
      </w:r>
      <w:r>
        <w:rPr>
          <w:rFonts w:hint="eastAsia" w:ascii="仿宋_GB2312" w:hAnsi="仿宋_GB2312" w:eastAsia="仿宋_GB2312" w:cs="仿宋_GB2312"/>
          <w:color w:val="auto"/>
          <w:sz w:val="28"/>
          <w:szCs w:val="28"/>
          <w:highlight w:val="none"/>
          <w:lang w:val="en-US" w:eastAsia="zh-CN"/>
        </w:rPr>
        <w:t>承包</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转包</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分包</w:t>
      </w:r>
      <w:r>
        <w:rPr>
          <w:rFonts w:hint="eastAsia" w:ascii="仿宋_GB2312" w:hAnsi="仿宋_GB2312" w:eastAsia="仿宋_GB2312" w:cs="仿宋_GB2312"/>
          <w:color w:val="auto"/>
          <w:sz w:val="28"/>
          <w:szCs w:val="28"/>
          <w:highlight w:val="none"/>
        </w:rPr>
        <w:t>，否则视为乙方违约，应向甲方支付合同总价款15%的违约金，且甲方有权单方解除合同，已收取</w:t>
      </w:r>
      <w:r>
        <w:rPr>
          <w:rFonts w:hint="eastAsia" w:ascii="仿宋_GB2312" w:hAnsi="仿宋_GB2312" w:eastAsia="仿宋_GB2312" w:cs="仿宋_GB2312"/>
          <w:color w:val="auto"/>
          <w:sz w:val="28"/>
          <w:szCs w:val="28"/>
          <w:highlight w:val="none"/>
          <w:lang w:val="en-US" w:eastAsia="zh-CN"/>
        </w:rPr>
        <w:t>承包款</w:t>
      </w:r>
      <w:r>
        <w:rPr>
          <w:rFonts w:hint="eastAsia" w:ascii="仿宋_GB2312" w:hAnsi="仿宋_GB2312" w:eastAsia="仿宋_GB2312" w:cs="仿宋_GB2312"/>
          <w:color w:val="auto"/>
          <w:sz w:val="28"/>
          <w:szCs w:val="28"/>
          <w:highlight w:val="none"/>
        </w:rPr>
        <w:t>不予退还。</w:t>
      </w:r>
    </w:p>
    <w:p w14:paraId="7CF16FFD">
      <w:pPr>
        <w:keepNext w:val="0"/>
        <w:keepLines w:val="0"/>
        <w:pageBreakBefore w:val="0"/>
        <w:widowControl w:val="0"/>
        <w:numPr>
          <w:ilvl w:val="0"/>
          <w:numId w:val="2"/>
        </w:numPr>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租赁期间，任何一方无正当理由单方面解除合同的，视为违约行为，违约方应赔偿因此给守约方造成的直接损失。如乙方因特殊原因或正当理由提前解除合同的，已缴纳的</w:t>
      </w:r>
      <w:r>
        <w:rPr>
          <w:rFonts w:hint="eastAsia" w:ascii="仿宋_GB2312" w:hAnsi="仿宋_GB2312" w:eastAsia="仿宋_GB2312" w:cs="仿宋_GB2312"/>
          <w:color w:val="auto"/>
          <w:sz w:val="28"/>
          <w:szCs w:val="28"/>
          <w:highlight w:val="none"/>
          <w:lang w:val="en-US" w:eastAsia="zh-CN"/>
        </w:rPr>
        <w:t>承包款</w:t>
      </w:r>
      <w:r>
        <w:rPr>
          <w:rFonts w:hint="eastAsia" w:ascii="仿宋_GB2312" w:hAnsi="仿宋_GB2312" w:eastAsia="仿宋_GB2312" w:cs="仿宋_GB2312"/>
          <w:color w:val="auto"/>
          <w:sz w:val="28"/>
          <w:szCs w:val="28"/>
          <w:highlight w:val="none"/>
        </w:rPr>
        <w:t>按乙方已</w:t>
      </w:r>
      <w:r>
        <w:rPr>
          <w:rFonts w:hint="eastAsia" w:ascii="仿宋_GB2312" w:hAnsi="仿宋_GB2312" w:eastAsia="仿宋_GB2312" w:cs="仿宋_GB2312"/>
          <w:color w:val="auto"/>
          <w:sz w:val="28"/>
          <w:szCs w:val="28"/>
          <w:highlight w:val="none"/>
          <w:lang w:val="en-US" w:eastAsia="zh-CN"/>
        </w:rPr>
        <w:t>承包</w:t>
      </w:r>
      <w:r>
        <w:rPr>
          <w:rFonts w:hint="eastAsia" w:ascii="仿宋_GB2312" w:hAnsi="仿宋_GB2312" w:eastAsia="仿宋_GB2312" w:cs="仿宋_GB2312"/>
          <w:color w:val="auto"/>
          <w:sz w:val="28"/>
          <w:szCs w:val="28"/>
          <w:highlight w:val="none"/>
        </w:rPr>
        <w:t>的日期（以整月计算，不足一个月按整月计）扣除，并且扣除履约保证金。</w:t>
      </w:r>
    </w:p>
    <w:p w14:paraId="556234F2">
      <w:pPr>
        <w:keepNext w:val="0"/>
        <w:keepLines w:val="0"/>
        <w:pageBreakBefore w:val="0"/>
        <w:widowControl w:val="0"/>
        <w:numPr>
          <w:ilvl w:val="0"/>
          <w:numId w:val="2"/>
        </w:numPr>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因乙方违约而导致甲方解除合同的，已缴纳的</w:t>
      </w:r>
      <w:r>
        <w:rPr>
          <w:rFonts w:hint="eastAsia" w:ascii="仿宋_GB2312" w:hAnsi="仿宋_GB2312" w:eastAsia="仿宋_GB2312" w:cs="仿宋_GB2312"/>
          <w:color w:val="auto"/>
          <w:sz w:val="28"/>
          <w:szCs w:val="28"/>
          <w:highlight w:val="none"/>
          <w:lang w:val="en-US" w:eastAsia="zh-CN"/>
        </w:rPr>
        <w:t>经营权承包款</w:t>
      </w:r>
      <w:r>
        <w:rPr>
          <w:rFonts w:hint="eastAsia" w:ascii="仿宋_GB2312" w:hAnsi="仿宋_GB2312" w:eastAsia="仿宋_GB2312" w:cs="仿宋_GB2312"/>
          <w:color w:val="auto"/>
          <w:sz w:val="28"/>
          <w:szCs w:val="28"/>
          <w:highlight w:val="none"/>
        </w:rPr>
        <w:t>不予退还。</w:t>
      </w:r>
    </w:p>
    <w:p w14:paraId="33960174">
      <w:pPr>
        <w:keepNext w:val="0"/>
        <w:keepLines w:val="0"/>
        <w:pageBreakBefore w:val="0"/>
        <w:widowControl w:val="0"/>
        <w:numPr>
          <w:ilvl w:val="0"/>
          <w:numId w:val="2"/>
        </w:numPr>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乙方在使用场地过程中违反本合同约定或甲方管理规定的，甲方有权解除合同，同时</w:t>
      </w:r>
      <w:r>
        <w:rPr>
          <w:rFonts w:hint="eastAsia" w:ascii="仿宋_GB2312" w:hAnsi="仿宋_GB2312" w:eastAsia="仿宋_GB2312" w:cs="仿宋_GB2312"/>
          <w:color w:val="auto"/>
          <w:sz w:val="28"/>
          <w:szCs w:val="28"/>
          <w:highlight w:val="none"/>
          <w:lang w:val="en-US" w:eastAsia="zh-CN"/>
        </w:rPr>
        <w:t>乙方应当向甲方支付合同总价款15%的违约金</w:t>
      </w:r>
      <w:r>
        <w:rPr>
          <w:rFonts w:hint="eastAsia" w:ascii="仿宋_GB2312" w:hAnsi="仿宋_GB2312" w:eastAsia="仿宋_GB2312" w:cs="仿宋_GB2312"/>
          <w:color w:val="auto"/>
          <w:sz w:val="28"/>
          <w:szCs w:val="28"/>
          <w:highlight w:val="none"/>
        </w:rPr>
        <w:t>。</w:t>
      </w:r>
    </w:p>
    <w:p w14:paraId="1CC29B4E">
      <w:pPr>
        <w:keepNext w:val="0"/>
        <w:keepLines w:val="0"/>
        <w:pageBreakBefore w:val="0"/>
        <w:widowControl w:val="0"/>
        <w:numPr>
          <w:ilvl w:val="0"/>
          <w:numId w:val="2"/>
        </w:numPr>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乙方在经营期间因自身行为给甲方造成负面声誉影响的，包括但不限于网络负面报道等舆情、上级各部门各种形式的批评、通报、市长热线等，视为乙方违约，乙方应向甲方支付每次</w:t>
      </w:r>
      <w:r>
        <w:rPr>
          <w:rFonts w:hint="eastAsia" w:ascii="仿宋_GB2312" w:hAnsi="仿宋_GB2312" w:eastAsia="仿宋_GB2312" w:cs="仿宋_GB2312"/>
          <w:color w:val="auto"/>
          <w:sz w:val="28"/>
          <w:szCs w:val="28"/>
          <w:highlight w:val="none"/>
          <w:u w:val="single"/>
          <w:lang w:val="en-US" w:eastAsia="zh-CN"/>
        </w:rPr>
        <w:t>50</w:t>
      </w:r>
      <w:r>
        <w:rPr>
          <w:rFonts w:hint="eastAsia" w:ascii="仿宋_GB2312" w:hAnsi="仿宋_GB2312" w:eastAsia="仿宋_GB2312" w:cs="仿宋_GB2312"/>
          <w:color w:val="auto"/>
          <w:sz w:val="28"/>
          <w:szCs w:val="28"/>
          <w:highlight w:val="none"/>
          <w:u w:val="single"/>
        </w:rPr>
        <w:t>00</w:t>
      </w:r>
      <w:r>
        <w:rPr>
          <w:rFonts w:hint="eastAsia" w:ascii="仿宋_GB2312" w:hAnsi="仿宋_GB2312" w:eastAsia="仿宋_GB2312" w:cs="仿宋_GB2312"/>
          <w:color w:val="auto"/>
          <w:sz w:val="28"/>
          <w:szCs w:val="28"/>
          <w:highlight w:val="none"/>
        </w:rPr>
        <w:t>元的违约金。</w:t>
      </w:r>
    </w:p>
    <w:p w14:paraId="70CCC2D8">
      <w:pPr>
        <w:pStyle w:val="2"/>
        <w:keepNext w:val="0"/>
        <w:keepLines w:val="0"/>
        <w:pageBreakBefore w:val="0"/>
        <w:widowControl w:val="0"/>
        <w:kinsoku/>
        <w:wordWrap/>
        <w:overflowPunct/>
        <w:topLinePunct w:val="0"/>
        <w:bidi w:val="0"/>
        <w:spacing w:line="44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7、合同终止后，乙方应在合同终止之日起7日内将</w:t>
      </w:r>
      <w:r>
        <w:rPr>
          <w:rFonts w:hint="eastAsia" w:ascii="仿宋_GB2312" w:hAnsi="仿宋_GB2312" w:eastAsia="仿宋_GB2312" w:cs="仿宋_GB2312"/>
          <w:color w:val="auto"/>
          <w:sz w:val="28"/>
          <w:szCs w:val="28"/>
          <w:highlight w:val="none"/>
          <w:lang w:val="en-US" w:eastAsia="zh-CN"/>
        </w:rPr>
        <w:t>经营</w:t>
      </w:r>
      <w:r>
        <w:rPr>
          <w:rFonts w:hint="eastAsia" w:ascii="仿宋_GB2312" w:hAnsi="仿宋_GB2312" w:eastAsia="仿宋_GB2312" w:cs="仿宋_GB2312"/>
          <w:color w:val="auto"/>
          <w:sz w:val="28"/>
          <w:szCs w:val="28"/>
          <w:highlight w:val="none"/>
        </w:rPr>
        <w:t>场地恢复原貌或按甲方要求进行交接。如需乙方及时清理撤除归属自己的设施及物品的，乙方应予清理撤除，未在甲方要求的时间内进行清理撤除的，视为乙方放弃其</w:t>
      </w:r>
      <w:r>
        <w:rPr>
          <w:rFonts w:hint="eastAsia" w:ascii="仿宋_GB2312" w:hAnsi="仿宋_GB2312" w:eastAsia="仿宋_GB2312" w:cs="仿宋_GB2312"/>
          <w:color w:val="auto"/>
          <w:sz w:val="28"/>
          <w:szCs w:val="28"/>
          <w:highlight w:val="none"/>
          <w:lang w:val="en-US" w:eastAsia="zh-CN"/>
        </w:rPr>
        <w:t>承包场地</w:t>
      </w:r>
      <w:r>
        <w:rPr>
          <w:rFonts w:hint="eastAsia" w:ascii="仿宋_GB2312" w:hAnsi="仿宋_GB2312" w:eastAsia="仿宋_GB2312" w:cs="仿宋_GB2312"/>
          <w:color w:val="auto"/>
          <w:sz w:val="28"/>
          <w:szCs w:val="28"/>
          <w:highlight w:val="none"/>
        </w:rPr>
        <w:t>内的物品和设备，甲方有权自行处置。</w:t>
      </w:r>
    </w:p>
    <w:p w14:paraId="7A5BCB8E">
      <w:pPr>
        <w:pStyle w:val="2"/>
        <w:keepNext w:val="0"/>
        <w:keepLines w:val="0"/>
        <w:pageBreakBefore w:val="0"/>
        <w:widowControl w:val="0"/>
        <w:kinsoku/>
        <w:wordWrap/>
        <w:overflowPunct/>
        <w:topLinePunct w:val="0"/>
        <w:bidi w:val="0"/>
        <w:spacing w:line="44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8、上述违约金甲方有权直接自履约保证金中扣除，不足部分乙方向甲方支付。</w:t>
      </w:r>
    </w:p>
    <w:p w14:paraId="2E9D06CA">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第七条：合同的解除</w:t>
      </w:r>
    </w:p>
    <w:p w14:paraId="591A4521">
      <w:pPr>
        <w:pStyle w:val="2"/>
        <w:keepNext w:val="0"/>
        <w:keepLines w:val="0"/>
        <w:pageBreakBefore w:val="0"/>
        <w:widowControl w:val="0"/>
        <w:kinsoku/>
        <w:wordWrap/>
        <w:overflowPunct/>
        <w:topLinePunct w:val="0"/>
        <w:bidi w:val="0"/>
        <w:spacing w:line="44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经双方协商一致，可以解除本合同。</w:t>
      </w:r>
    </w:p>
    <w:p w14:paraId="5FDAE358">
      <w:pPr>
        <w:pStyle w:val="2"/>
        <w:keepNext w:val="0"/>
        <w:keepLines w:val="0"/>
        <w:pageBreakBefore w:val="0"/>
        <w:widowControl w:val="0"/>
        <w:kinsoku/>
        <w:wordWrap/>
        <w:overflowPunct/>
        <w:topLinePunct w:val="0"/>
        <w:bidi w:val="0"/>
        <w:spacing w:line="44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1、乙方有下列情形之一的，甲方有权单方解除合同，收回该</w:t>
      </w:r>
      <w:r>
        <w:rPr>
          <w:rFonts w:hint="eastAsia" w:ascii="仿宋_GB2312" w:hAnsi="仿宋_GB2312" w:eastAsia="仿宋_GB2312" w:cs="仿宋_GB2312"/>
          <w:color w:val="auto"/>
          <w:sz w:val="28"/>
          <w:szCs w:val="28"/>
          <w:highlight w:val="none"/>
          <w:lang w:val="en-US" w:eastAsia="zh-CN"/>
        </w:rPr>
        <w:t>经营权</w:t>
      </w:r>
      <w:r>
        <w:rPr>
          <w:rFonts w:hint="eastAsia" w:ascii="仿宋_GB2312" w:hAnsi="仿宋_GB2312" w:eastAsia="仿宋_GB2312" w:cs="仿宋_GB2312"/>
          <w:color w:val="auto"/>
          <w:sz w:val="28"/>
          <w:szCs w:val="28"/>
          <w:highlight w:val="none"/>
        </w:rPr>
        <w:t>：</w:t>
      </w:r>
    </w:p>
    <w:p w14:paraId="42C4D1B7">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发生游人安全伤亡事故、食品安全事故，拒不赔付、引发上访舆情；</w:t>
      </w:r>
    </w:p>
    <w:p w14:paraId="756BC129">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游乐设施无证运营、带病运营、拒不安全整改；</w:t>
      </w:r>
    </w:p>
    <w:p w14:paraId="0381DC7F">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堵塞消防通道、超时经营、噪音屡教不改；</w:t>
      </w:r>
    </w:p>
    <w:p w14:paraId="1DFC0B1C">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超范围经营、私自固定破坏广场地面；</w:t>
      </w:r>
    </w:p>
    <w:p w14:paraId="545D319D">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不支付或者不按照约定支付预缴保底租金、履约保证金逾期超过30日的；</w:t>
      </w:r>
    </w:p>
    <w:p w14:paraId="72D9FBC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擅自转第三方经营，分包场地、违规招商摊主；</w:t>
      </w:r>
    </w:p>
    <w:p w14:paraId="6411202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因经营过程中出现的违法行为被政府相关部门责令停止营业的、政府相关部门责令甲方整改的。</w:t>
      </w:r>
    </w:p>
    <w:p w14:paraId="62C2BF6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违反城管、自然资源和规划、消防、市监处罚，牵连库区被追责。</w:t>
      </w:r>
    </w:p>
    <w:p w14:paraId="0A70E858">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擅自改变经营权场地经营用途的，拓展经营项目；</w:t>
      </w:r>
    </w:p>
    <w:p w14:paraId="11F4B472">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超范围经营（无甲方允许私自引入特种设备、大型游乐设施等）、违规搭建构筑物；</w:t>
      </w:r>
    </w:p>
    <w:p w14:paraId="1B947A98">
      <w:pPr>
        <w:pStyle w:val="2"/>
        <w:keepNext w:val="0"/>
        <w:keepLines w:val="0"/>
        <w:pageBreakBefore w:val="0"/>
        <w:widowControl w:val="0"/>
        <w:numPr>
          <w:ilvl w:val="0"/>
          <w:numId w:val="4"/>
        </w:numPr>
        <w:kinsoku/>
        <w:wordWrap/>
        <w:overflowPunct/>
        <w:topLinePunct w:val="0"/>
        <w:bidi w:val="0"/>
        <w:spacing w:line="44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甲方有下列情形之一的，乙方有权单方解除合同：未按约定时间交付该</w:t>
      </w:r>
      <w:r>
        <w:rPr>
          <w:rFonts w:hint="eastAsia" w:ascii="仿宋_GB2312" w:hAnsi="仿宋_GB2312" w:eastAsia="仿宋_GB2312" w:cs="仿宋_GB2312"/>
          <w:color w:val="auto"/>
          <w:sz w:val="28"/>
          <w:szCs w:val="28"/>
          <w:highlight w:val="none"/>
          <w:lang w:val="en-US" w:eastAsia="zh-CN"/>
        </w:rPr>
        <w:t>经营权运营场地</w:t>
      </w:r>
      <w:r>
        <w:rPr>
          <w:rFonts w:hint="eastAsia" w:ascii="仿宋_GB2312" w:hAnsi="仿宋_GB2312" w:eastAsia="仿宋_GB2312" w:cs="仿宋_GB2312"/>
          <w:color w:val="auto"/>
          <w:sz w:val="28"/>
          <w:szCs w:val="28"/>
          <w:highlight w:val="none"/>
        </w:rPr>
        <w:t>达30日的</w:t>
      </w:r>
      <w:r>
        <w:rPr>
          <w:rFonts w:hint="eastAsia" w:ascii="仿宋_GB2312" w:hAnsi="仿宋_GB2312" w:eastAsia="仿宋_GB2312" w:cs="仿宋_GB2312"/>
          <w:color w:val="auto"/>
          <w:sz w:val="28"/>
          <w:szCs w:val="28"/>
          <w:highlight w:val="none"/>
          <w:lang w:eastAsia="zh-CN"/>
        </w:rPr>
        <w:t>。</w:t>
      </w:r>
    </w:p>
    <w:p w14:paraId="6EE8858D">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第八条：不可抗力因素</w:t>
      </w:r>
    </w:p>
    <w:p w14:paraId="69585952">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合同履行期间因不可抗力（含各级政府和行业部门的行为及政策变化）导致合同不能履行或不能完全履行的，合同各方均不承担违约责任。</w:t>
      </w:r>
    </w:p>
    <w:p w14:paraId="7D679C97">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第九条：争议解决方式</w:t>
      </w:r>
    </w:p>
    <w:p w14:paraId="0AEF4C16">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双方因本合同的履行或与本合同有关的其他事项而发生的争议，应由双方友好协商解决。如协商不成或不愿协商，则任何一方有权将争议提交甲方所在地人民法院解决。</w:t>
      </w:r>
    </w:p>
    <w:p w14:paraId="1946ABF4">
      <w:pPr>
        <w:keepNext w:val="0"/>
        <w:keepLines w:val="0"/>
        <w:pageBreakBefore w:val="0"/>
        <w:widowControl w:val="0"/>
        <w:kinsoku/>
        <w:wordWrap/>
        <w:overflowPunct/>
        <w:topLinePunct w:val="0"/>
        <w:bidi w:val="0"/>
        <w:spacing w:line="440" w:lineRule="exact"/>
        <w:ind w:firstLine="562"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第十条：附则</w:t>
      </w:r>
    </w:p>
    <w:p w14:paraId="473F7FD0">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1、本合同自双方法定代表人或授权代表签字或盖章并加盖公章之日起生效。本合同一式</w:t>
      </w:r>
      <w:r>
        <w:rPr>
          <w:rFonts w:hint="eastAsia" w:ascii="仿宋_GB2312" w:hAnsi="仿宋_GB2312" w:eastAsia="仿宋_GB2312" w:cs="仿宋_GB2312"/>
          <w:color w:val="auto"/>
          <w:sz w:val="28"/>
          <w:szCs w:val="28"/>
          <w:highlight w:val="none"/>
          <w:lang w:val="en-US" w:eastAsia="zh-CN"/>
        </w:rPr>
        <w:t>陆</w:t>
      </w:r>
      <w:r>
        <w:rPr>
          <w:rFonts w:hint="eastAsia" w:ascii="仿宋_GB2312" w:hAnsi="仿宋_GB2312" w:eastAsia="仿宋_GB2312" w:cs="仿宋_GB2312"/>
          <w:color w:val="auto"/>
          <w:sz w:val="28"/>
          <w:szCs w:val="28"/>
          <w:highlight w:val="none"/>
        </w:rPr>
        <w:t>份，甲方执</w:t>
      </w:r>
      <w:r>
        <w:rPr>
          <w:rFonts w:hint="eastAsia" w:ascii="仿宋_GB2312" w:hAnsi="仿宋_GB2312" w:eastAsia="仿宋_GB2312" w:cs="仿宋_GB2312"/>
          <w:color w:val="auto"/>
          <w:sz w:val="28"/>
          <w:szCs w:val="28"/>
          <w:highlight w:val="none"/>
          <w:lang w:val="en-US" w:eastAsia="zh-CN"/>
        </w:rPr>
        <w:t>伍</w:t>
      </w:r>
      <w:r>
        <w:rPr>
          <w:rFonts w:hint="eastAsia" w:ascii="仿宋_GB2312" w:hAnsi="仿宋_GB2312" w:eastAsia="仿宋_GB2312" w:cs="仿宋_GB2312"/>
          <w:color w:val="auto"/>
          <w:sz w:val="28"/>
          <w:szCs w:val="28"/>
          <w:highlight w:val="none"/>
        </w:rPr>
        <w:t>份，乙方执壹份，具有同等的法律效力。</w:t>
      </w:r>
    </w:p>
    <w:p w14:paraId="48BF98D8">
      <w:pPr>
        <w:keepNext w:val="0"/>
        <w:keepLines w:val="0"/>
        <w:pageBreakBefore w:val="0"/>
        <w:widowControl w:val="0"/>
        <w:kinsoku/>
        <w:wordWrap/>
        <w:overflowPunct/>
        <w:topLinePunct w:val="0"/>
        <w:bidi w:val="0"/>
        <w:spacing w:line="44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2、双方对合同内容的变更或补充应采用书面形式，并由双方签字盖章作为合同附件，附件与本合同具有同等的法律效力。</w:t>
      </w:r>
    </w:p>
    <w:p w14:paraId="79578283">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（以下无正文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为签署页</w:t>
      </w:r>
      <w:r>
        <w:rPr>
          <w:rFonts w:hint="eastAsia" w:ascii="仿宋_GB2312" w:hAnsi="仿宋_GB2312" w:eastAsia="仿宋_GB2312" w:cs="仿宋_GB2312"/>
          <w:color w:val="auto"/>
          <w:sz w:val="28"/>
          <w:szCs w:val="28"/>
          <w:highlight w:val="none"/>
        </w:rPr>
        <w:t>）</w:t>
      </w:r>
    </w:p>
    <w:p w14:paraId="2C2D9169">
      <w:pPr>
        <w:keepNext w:val="0"/>
        <w:keepLines w:val="0"/>
        <w:pageBreakBefore w:val="0"/>
        <w:widowControl w:val="0"/>
        <w:kinsoku/>
        <w:wordWrap/>
        <w:overflowPunct/>
        <w:topLinePunct w:val="0"/>
        <w:bidi w:val="0"/>
        <w:spacing w:line="440" w:lineRule="exact"/>
        <w:jc w:val="left"/>
        <w:textAlignment w:val="auto"/>
        <w:rPr>
          <w:rFonts w:hint="eastAsia" w:ascii="仿宋_GB2312" w:hAnsi="仿宋_GB2312" w:eastAsia="仿宋_GB2312" w:cs="仿宋_GB2312"/>
          <w:color w:val="auto"/>
          <w:kern w:val="0"/>
          <w:sz w:val="28"/>
          <w:szCs w:val="28"/>
          <w:highlight w:val="none"/>
        </w:rPr>
      </w:pPr>
    </w:p>
    <w:p w14:paraId="6B302649">
      <w:pPr>
        <w:keepNext w:val="0"/>
        <w:keepLines w:val="0"/>
        <w:pageBreakBefore w:val="0"/>
        <w:widowControl w:val="0"/>
        <w:kinsoku/>
        <w:wordWrap/>
        <w:overflowPunct/>
        <w:topLinePunct w:val="0"/>
        <w:bidi w:val="0"/>
        <w:spacing w:line="440" w:lineRule="exact"/>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    （盖章）             乙方：     （盖章</w:t>
      </w:r>
      <w:r>
        <w:rPr>
          <w:rFonts w:hint="eastAsia" w:ascii="仿宋_GB2312" w:hAnsi="仿宋_GB2312" w:eastAsia="仿宋_GB2312" w:cs="仿宋_GB2312"/>
          <w:color w:val="auto"/>
          <w:sz w:val="28"/>
          <w:szCs w:val="28"/>
          <w:highlight w:val="none"/>
          <w:lang w:val="en-US" w:eastAsia="zh-CN"/>
        </w:rPr>
        <w:t>或签字</w:t>
      </w:r>
      <w:r>
        <w:rPr>
          <w:rFonts w:hint="eastAsia" w:ascii="仿宋_GB2312" w:hAnsi="仿宋_GB2312" w:eastAsia="仿宋_GB2312" w:cs="仿宋_GB2312"/>
          <w:color w:val="auto"/>
          <w:sz w:val="28"/>
          <w:szCs w:val="28"/>
          <w:highlight w:val="none"/>
        </w:rPr>
        <w:t>）</w:t>
      </w:r>
    </w:p>
    <w:p w14:paraId="3139A0C0">
      <w:pPr>
        <w:pStyle w:val="10"/>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0AD8C4B0">
      <w:pPr>
        <w:keepNext w:val="0"/>
        <w:keepLines w:val="0"/>
        <w:pageBreakBefore w:val="0"/>
        <w:widowControl w:val="0"/>
        <w:kinsoku/>
        <w:wordWrap/>
        <w:overflowPunct/>
        <w:topLinePunct w:val="0"/>
        <w:bidi w:val="0"/>
        <w:spacing w:line="440" w:lineRule="exact"/>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法定代表人或                   法定代表人或 </w:t>
      </w:r>
    </w:p>
    <w:p w14:paraId="38FE4CBC">
      <w:pPr>
        <w:pStyle w:val="10"/>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0ED29600">
      <w:pPr>
        <w:keepNext w:val="0"/>
        <w:keepLines w:val="0"/>
        <w:pageBreakBefore w:val="0"/>
        <w:widowControl w:val="0"/>
        <w:kinsoku/>
        <w:wordWrap/>
        <w:overflowPunct/>
        <w:topLinePunct w:val="0"/>
        <w:bidi w:val="0"/>
        <w:spacing w:line="440" w:lineRule="exact"/>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委托代理人：（签字）             委托代理人：（签字）</w:t>
      </w:r>
    </w:p>
    <w:p w14:paraId="3FD13F56">
      <w:pPr>
        <w:pStyle w:val="10"/>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rPr>
      </w:pPr>
    </w:p>
    <w:p w14:paraId="65103D54">
      <w:pPr>
        <w:keepNext w:val="0"/>
        <w:keepLines w:val="0"/>
        <w:pageBreakBefore w:val="0"/>
        <w:widowControl w:val="0"/>
        <w:kinsoku/>
        <w:wordWrap/>
        <w:overflowPunct/>
        <w:topLinePunct w:val="0"/>
        <w:bidi w:val="0"/>
        <w:spacing w:line="440" w:lineRule="exact"/>
        <w:ind w:firstLine="3920" w:firstLineChars="1400"/>
        <w:jc w:val="left"/>
        <w:textAlignment w:val="auto"/>
        <w:rPr>
          <w:rFonts w:hint="eastAsia" w:ascii="仿宋_GB2312" w:hAnsi="仿宋_GB2312" w:eastAsia="仿宋_GB2312" w:cs="仿宋_GB2312"/>
          <w:color w:val="auto"/>
          <w:sz w:val="28"/>
          <w:szCs w:val="28"/>
          <w:highlight w:val="none"/>
        </w:rPr>
      </w:pPr>
    </w:p>
    <w:p w14:paraId="2E4D3EF2">
      <w:pPr>
        <w:keepNext w:val="0"/>
        <w:keepLines w:val="0"/>
        <w:pageBreakBefore w:val="0"/>
        <w:widowControl w:val="0"/>
        <w:kinsoku/>
        <w:wordWrap/>
        <w:overflowPunct/>
        <w:topLinePunct w:val="0"/>
        <w:bidi w:val="0"/>
        <w:spacing w:line="440" w:lineRule="exact"/>
        <w:ind w:firstLine="3920" w:firstLineChars="14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 xml:space="preserve">签订日期：    年   月 </w:t>
      </w:r>
      <w:r>
        <w:rPr>
          <w:rFonts w:hint="eastAsia" w:ascii="仿宋_GB2312" w:hAnsi="仿宋_GB2312" w:eastAsia="仿宋_GB2312" w:cs="仿宋_GB2312"/>
          <w:color w:val="auto"/>
          <w:sz w:val="28"/>
          <w:szCs w:val="28"/>
          <w:highlight w:val="none"/>
          <w:lang w:val="en-US" w:eastAsia="zh-CN"/>
        </w:rPr>
        <w:t xml:space="preserve"> 日</w:t>
      </w:r>
    </w:p>
    <w:p w14:paraId="041FDA47">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lang w:val="en-US" w:eastAsia="zh-CN"/>
        </w:rPr>
      </w:pPr>
    </w:p>
    <w:p w14:paraId="178AFF91">
      <w:pPr>
        <w:keepNext w:val="0"/>
        <w:keepLines w:val="0"/>
        <w:pageBreakBefore w:val="0"/>
        <w:widowControl w:val="0"/>
        <w:kinsoku/>
        <w:wordWrap/>
        <w:overflowPunct/>
        <w:topLinePunct w:val="0"/>
        <w:bidi w:val="0"/>
        <w:spacing w:line="440" w:lineRule="exact"/>
        <w:textAlignment w:val="auto"/>
        <w:rPr>
          <w:rFonts w:hint="eastAsia" w:ascii="仿宋_GB2312" w:hAnsi="仿宋_GB2312" w:eastAsia="仿宋_GB2312" w:cs="仿宋_GB2312"/>
          <w:color w:val="auto"/>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DD23FD7A-1289-4B57-A3F5-06B07A743E8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73EE74"/>
    <w:multiLevelType w:val="singleLevel"/>
    <w:tmpl w:val="B073EE74"/>
    <w:lvl w:ilvl="0" w:tentative="0">
      <w:start w:val="2"/>
      <w:numFmt w:val="decimal"/>
      <w:suff w:val="nothing"/>
      <w:lvlText w:val="%1、"/>
      <w:lvlJc w:val="left"/>
    </w:lvl>
  </w:abstractNum>
  <w:abstractNum w:abstractNumId="1">
    <w:nsid w:val="0D1F071A"/>
    <w:multiLevelType w:val="singleLevel"/>
    <w:tmpl w:val="0D1F071A"/>
    <w:lvl w:ilvl="0" w:tentative="0">
      <w:start w:val="2"/>
      <w:numFmt w:val="chineseCounting"/>
      <w:suff w:val="nothing"/>
      <w:lvlText w:val="%1、"/>
      <w:lvlJc w:val="left"/>
      <w:rPr>
        <w:rFonts w:hint="eastAsia"/>
      </w:rPr>
    </w:lvl>
  </w:abstractNum>
  <w:abstractNum w:abstractNumId="2">
    <w:nsid w:val="5FD05585"/>
    <w:multiLevelType w:val="singleLevel"/>
    <w:tmpl w:val="5FD05585"/>
    <w:lvl w:ilvl="0" w:tentative="0">
      <w:start w:val="1"/>
      <w:numFmt w:val="decimal"/>
      <w:suff w:val="nothing"/>
      <w:lvlText w:val="%1、"/>
      <w:lvlJc w:val="left"/>
    </w:lvl>
  </w:abstractNum>
  <w:abstractNum w:abstractNumId="3">
    <w:nsid w:val="76360215"/>
    <w:multiLevelType w:val="singleLevel"/>
    <w:tmpl w:val="76360215"/>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A14AE4"/>
    <w:rsid w:val="01EC3436"/>
    <w:rsid w:val="07B81938"/>
    <w:rsid w:val="08AB4B1F"/>
    <w:rsid w:val="0A013EA1"/>
    <w:rsid w:val="0DD216C0"/>
    <w:rsid w:val="16AE5750"/>
    <w:rsid w:val="180F4839"/>
    <w:rsid w:val="1BC66679"/>
    <w:rsid w:val="1FB14004"/>
    <w:rsid w:val="23BE60C7"/>
    <w:rsid w:val="27134BF4"/>
    <w:rsid w:val="2B697AF9"/>
    <w:rsid w:val="2D8D5C78"/>
    <w:rsid w:val="2EF86F91"/>
    <w:rsid w:val="30EE4C7F"/>
    <w:rsid w:val="31377332"/>
    <w:rsid w:val="326B6126"/>
    <w:rsid w:val="33144E8D"/>
    <w:rsid w:val="34FA0BAE"/>
    <w:rsid w:val="37F32961"/>
    <w:rsid w:val="3CB4617B"/>
    <w:rsid w:val="3E2C3283"/>
    <w:rsid w:val="40F831AD"/>
    <w:rsid w:val="433C7FD8"/>
    <w:rsid w:val="44A4522B"/>
    <w:rsid w:val="4883167A"/>
    <w:rsid w:val="49DF7638"/>
    <w:rsid w:val="4C854292"/>
    <w:rsid w:val="51BA5383"/>
    <w:rsid w:val="532A6DFE"/>
    <w:rsid w:val="53A000C2"/>
    <w:rsid w:val="53E24532"/>
    <w:rsid w:val="555F10BA"/>
    <w:rsid w:val="58C91339"/>
    <w:rsid w:val="5AAA72D0"/>
    <w:rsid w:val="5AE944C2"/>
    <w:rsid w:val="5C9A677B"/>
    <w:rsid w:val="6DA14AE4"/>
    <w:rsid w:val="6DBD193A"/>
    <w:rsid w:val="70980EDC"/>
    <w:rsid w:val="71877260"/>
    <w:rsid w:val="743564D9"/>
    <w:rsid w:val="755422AC"/>
    <w:rsid w:val="75EF5689"/>
    <w:rsid w:val="762D4575"/>
    <w:rsid w:val="767B5247"/>
    <w:rsid w:val="776C2CCB"/>
    <w:rsid w:val="79354892"/>
    <w:rsid w:val="7A06774A"/>
    <w:rsid w:val="7DA95783"/>
    <w:rsid w:val="7E1E6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99"/>
    <w:pPr>
      <w:spacing w:after="120"/>
    </w:pPr>
  </w:style>
  <w:style w:type="paragraph" w:styleId="4">
    <w:name w:val="Plain Text"/>
    <w:basedOn w:val="1"/>
    <w:next w:val="3"/>
    <w:qFormat/>
    <w:uiPriority w:val="99"/>
    <w:rPr>
      <w:rFonts w:ascii="宋体" w:hAnsi="Courier New"/>
    </w:rPr>
  </w:style>
  <w:style w:type="paragraph" w:styleId="5">
    <w:name w:val="footer"/>
    <w:basedOn w:val="1"/>
    <w:qFormat/>
    <w:uiPriority w:val="0"/>
    <w:pPr>
      <w:tabs>
        <w:tab w:val="center" w:pos="4153"/>
        <w:tab w:val="right" w:pos="8306"/>
      </w:tabs>
      <w:snapToGrid w:val="0"/>
      <w:jc w:val="left"/>
    </w:pPr>
    <w:rPr>
      <w:sz w:val="18"/>
      <w:szCs w:val="18"/>
    </w:rPr>
  </w:style>
  <w:style w:type="character" w:styleId="8">
    <w:name w:val="Strong"/>
    <w:basedOn w:val="7"/>
    <w:qFormat/>
    <w:uiPriority w:val="0"/>
    <w:rPr>
      <w:b/>
    </w:rPr>
  </w:style>
  <w:style w:type="paragraph" w:styleId="9">
    <w:name w:val="List Paragraph"/>
    <w:basedOn w:val="1"/>
    <w:unhideWhenUsed/>
    <w:qFormat/>
    <w:uiPriority w:val="99"/>
    <w:pPr>
      <w:ind w:firstLine="420" w:firstLineChars="200"/>
    </w:pPr>
  </w:style>
  <w:style w:type="paragraph" w:customStyle="1" w:styleId="10">
    <w:name w:val="Default"/>
    <w:basedOn w:val="4"/>
    <w:qFormat/>
    <w:uiPriority w:val="99"/>
    <w:pPr>
      <w:autoSpaceDE w:val="0"/>
      <w:autoSpaceDN w:val="0"/>
      <w:adjustRightInd w:val="0"/>
    </w:pPr>
    <w:rPr>
      <w:rFonts w:hAnsi="Calibri" w:eastAsia="宋体" w:cs="宋体"/>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5594</Words>
  <Characters>5667</Characters>
  <Lines>0</Lines>
  <Paragraphs>0</Paragraphs>
  <TotalTime>16</TotalTime>
  <ScaleCrop>false</ScaleCrop>
  <LinksUpToDate>false</LinksUpToDate>
  <CharactersWithSpaces>5849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2025-07-08T08:20:00Z</dcterms:created>
  <dc:creator>孙中梁</dc:creator>
  <cp:lastModifiedBy>郭念東</cp:lastModifiedBy>
  <dcterms:modified xsi:type="dcterms:W3CDTF">2026-08-06T08:44:08Z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425F499DBAB24283B909C79269183C88_13</vt:lpwstr>
  </property>
  <property fmtid="{D5CDD505-2E9C-101B-9397-08002B2CF9AE}" pid="4" name="KSOTemplateDocerSaveRecord">
    <vt:lpwstr>eyJoZGlkIjoiNzliYWNkOGZmODQwMTYxNzM1OTEwOWMxMzY5NDI3Y2UiLCJ1c2VySWQiOiI3NTUxNjg5NzEifQ==</vt:lpwstr>
  </property>
</Properties>
</file>