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5E431">
      <w:pPr>
        <w:keepNext w:val="0"/>
        <w:keepLines w:val="0"/>
        <w:pageBreakBefore w:val="0"/>
        <w:kinsoku/>
        <w:wordWrap/>
        <w:overflowPunct/>
        <w:topLinePunct w:val="0"/>
        <w:bidi w:val="0"/>
        <w:spacing w:line="42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蝴蝶广场东侧轮滑培训项目    </w:t>
      </w:r>
    </w:p>
    <w:p w14:paraId="5B90B4FC">
      <w:pPr>
        <w:keepNext w:val="0"/>
        <w:keepLines w:val="0"/>
        <w:pageBreakBefore w:val="0"/>
        <w:kinsoku/>
        <w:wordWrap/>
        <w:overflowPunct/>
        <w:topLinePunct w:val="0"/>
        <w:bidi w:val="0"/>
        <w:spacing w:line="4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经营权情况说明</w:t>
      </w:r>
    </w:p>
    <w:p w14:paraId="76A915A6">
      <w:pPr>
        <w:keepNext w:val="0"/>
        <w:keepLines w:val="0"/>
        <w:pageBreakBefore w:val="0"/>
        <w:kinsoku/>
        <w:wordWrap/>
        <w:overflowPunct/>
        <w:topLinePunct w:val="0"/>
        <w:bidi w:val="0"/>
        <w:spacing w:line="420" w:lineRule="exact"/>
        <w:ind w:firstLine="280" w:firstLineChars="100"/>
        <w:jc w:val="left"/>
        <w:textAlignment w:val="auto"/>
        <w:rPr>
          <w:rFonts w:hint="eastAsia" w:ascii="仿宋_GB2312" w:hAnsi="仿宋_GB2312" w:eastAsia="仿宋_GB2312" w:cs="仿宋_GB2312"/>
          <w:sz w:val="28"/>
          <w:szCs w:val="28"/>
          <w:highlight w:val="none"/>
        </w:rPr>
      </w:pPr>
    </w:p>
    <w:p w14:paraId="0DD87406">
      <w:pPr>
        <w:keepNext w:val="0"/>
        <w:keepLines w:val="0"/>
        <w:pageBreakBefore w:val="0"/>
        <w:numPr>
          <w:ilvl w:val="0"/>
          <w:numId w:val="0"/>
        </w:numPr>
        <w:kinsoku/>
        <w:wordWrap/>
        <w:overflowPunct/>
        <w:topLinePunct w:val="0"/>
        <w:bidi w:val="0"/>
        <w:spacing w:line="420" w:lineRule="exact"/>
        <w:ind w:firstLine="560" w:firstLineChars="200"/>
        <w:jc w:val="lef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lang w:val="en-US" w:eastAsia="zh-CN" w:bidi="ar-SA"/>
        </w:rPr>
        <w:t>一、</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概况及</w:t>
      </w:r>
      <w:r>
        <w:rPr>
          <w:rFonts w:hint="eastAsia" w:ascii="仿宋_GB2312" w:hAnsi="仿宋_GB2312" w:eastAsia="仿宋_GB2312" w:cs="仿宋_GB2312"/>
          <w:sz w:val="28"/>
          <w:szCs w:val="28"/>
          <w:highlight w:val="none"/>
          <w:lang w:val="en-US" w:eastAsia="zh-CN"/>
        </w:rPr>
        <w:t>经营权期限</w:t>
      </w:r>
    </w:p>
    <w:p w14:paraId="58E6C39D">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1、项目位于</w:t>
      </w:r>
      <w:r>
        <w:rPr>
          <w:rFonts w:hint="eastAsia" w:ascii="仿宋_GB2312" w:hAnsi="仿宋_GB2312" w:eastAsia="仿宋_GB2312" w:cs="仿宋_GB2312"/>
          <w:b w:val="0"/>
          <w:bCs w:val="0"/>
          <w:sz w:val="28"/>
          <w:szCs w:val="28"/>
          <w:highlight w:val="none"/>
        </w:rPr>
        <w:t>库区</w:t>
      </w:r>
      <w:r>
        <w:rPr>
          <w:rFonts w:hint="eastAsia" w:ascii="仿宋_GB2312" w:hAnsi="仿宋_GB2312" w:eastAsia="仿宋_GB2312" w:cs="仿宋_GB2312"/>
          <w:kern w:val="2"/>
          <w:sz w:val="28"/>
          <w:szCs w:val="28"/>
          <w:highlight w:val="none"/>
          <w:lang w:val="en-US" w:eastAsia="zh-CN" w:bidi="ar-SA"/>
        </w:rPr>
        <w:t>蝴蝶广场东侧儿童游乐场攀岩区，面积约为2200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kern w:val="2"/>
          <w:sz w:val="28"/>
          <w:szCs w:val="28"/>
          <w:highlight w:val="none"/>
          <w:lang w:val="en-US" w:eastAsia="zh-CN" w:bidi="ar-SA"/>
        </w:rPr>
        <w:t>，仅限用少儿及成人轮滑技能教学、轮滑体能集训、合规轮滑团建活动。</w:t>
      </w:r>
    </w:p>
    <w:p w14:paraId="2B52F097">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2、禁止经营及作业行为：轮滑竞速比赛、大型聚集展演、轮滑摆摊售卖、附带餐饮市集、高危花式轮滑、夜间飙滑娱乐、外租场地散客轮滑。</w:t>
      </w:r>
    </w:p>
    <w:p w14:paraId="73167568">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3、该项目经营权期限为5年。</w:t>
      </w:r>
    </w:p>
    <w:p w14:paraId="408E15CF">
      <w:pPr>
        <w:keepNext w:val="0"/>
        <w:keepLines w:val="0"/>
        <w:pageBreakBefore w:val="0"/>
        <w:numPr>
          <w:ilvl w:val="0"/>
          <w:numId w:val="1"/>
        </w:numPr>
        <w:kinsoku/>
        <w:wordWrap/>
        <w:overflowPunct/>
        <w:topLinePunct w:val="0"/>
        <w:bidi w:val="0"/>
        <w:spacing w:line="4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承包人应具备的基本条件及要求</w:t>
      </w:r>
    </w:p>
    <w:p w14:paraId="308582E2">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1、承租人为境内外企业法人、具有独立承担民事责任能力的其他组织和具有完全民事行为能力的自然人。</w:t>
      </w:r>
    </w:p>
    <w:p w14:paraId="28FD41B3">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2、经营要求承租人必须合法、文明经营，自负盈亏，承担经营过程中发生的一切税费及相关责任。</w:t>
      </w:r>
    </w:p>
    <w:p w14:paraId="3E8CC5E6">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承租人对竞得的标的只有经营权，所有权与处置权属于开封西湖文旅投资有限公司。承包人须自行负责轮滑培训经营业态的全流程关键工作，包括但不限于轮滑器材（鞋具、护具等）的采购验收、合规储存及定期维护更换；经营区域水电管理与安全维护；培训场地及周边环境卫生清洁。同时，需配备专业的轮滑培训人员，负责对学员进行轮滑技能教学、安全注意事项讲解及应急处理流程的专业培训与现场指导，并定期组织安全演练与技能考核，确保培训内容全面、讲解清晰、考核严格，全方位提升学员的安全意识与运动技能，避免因培训疏漏影响项目运营及学员权益。</w:t>
      </w:r>
    </w:p>
    <w:p w14:paraId="0AAFFE36">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4、安全管理要求承租人需建立完善的安全管理制度，确保该项目的安全运行。具体要求如下：</w:t>
      </w:r>
    </w:p>
    <w:p w14:paraId="4786C532">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每日营业前需对经营区域进行全面检查，重点排查场地地面平整度及防滑情况、防护围栏及缓冲设施完好性、消防器材有效性，确保无摔伤、碰撞等安全风险；</w:t>
      </w:r>
    </w:p>
    <w:p w14:paraId="4AE3A4C5">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配备专业的安全管理人员，明确其岗位职责，负责现场安全监督、消防安全巡查、学员安全引导及应急处理，一旦发生学员受伤、设备故障等突发情况，需第一时间启动应急方案并妥善处置；</w:t>
      </w:r>
    </w:p>
    <w:p w14:paraId="446324ED">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在经营区域设置明显的安全警示标识，内容需包含轮滑运动安全提示、防护装备佩戴要求等，标识设计需清晰醒目、易于识别；</w:t>
      </w:r>
    </w:p>
    <w:p w14:paraId="7C811BB3">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定期对现场管理人员及轮滑培训人员进行安全培训，培训内容需包括安全操作规范及应急处理流程。</w:t>
      </w:r>
    </w:p>
    <w:p w14:paraId="512E3132">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5、承包人</w:t>
      </w:r>
      <w:r>
        <w:rPr>
          <w:rFonts w:hint="eastAsia" w:ascii="仿宋_GB2312" w:hAnsi="仿宋_GB2312" w:eastAsia="仿宋_GB2312" w:cs="仿宋_GB2312"/>
          <w:sz w:val="28"/>
          <w:szCs w:val="28"/>
          <w:highlight w:val="none"/>
        </w:rPr>
        <w:t>的经营业态及</w:t>
      </w:r>
      <w:r>
        <w:rPr>
          <w:rFonts w:hint="eastAsia" w:ascii="仿宋_GB2312" w:hAnsi="仿宋_GB2312" w:eastAsia="仿宋_GB2312" w:cs="仿宋_GB2312"/>
          <w:sz w:val="28"/>
          <w:szCs w:val="28"/>
          <w:highlight w:val="none"/>
          <w:lang w:val="en-US" w:eastAsia="zh-CN"/>
        </w:rPr>
        <w:t>装饰装修方案</w:t>
      </w:r>
      <w:r>
        <w:rPr>
          <w:rFonts w:hint="eastAsia" w:ascii="仿宋_GB2312" w:hAnsi="仿宋_GB2312" w:eastAsia="仿宋_GB2312" w:cs="仿宋_GB2312"/>
          <w:sz w:val="28"/>
          <w:szCs w:val="28"/>
          <w:highlight w:val="none"/>
        </w:rPr>
        <w:t>，需上报西湖公司审核通过，</w:t>
      </w:r>
      <w:r>
        <w:rPr>
          <w:rFonts w:hint="eastAsia" w:ascii="仿宋_GB2312" w:hAnsi="仿宋_GB2312" w:eastAsia="仿宋_GB2312" w:cs="仿宋_GB2312"/>
          <w:sz w:val="28"/>
          <w:szCs w:val="28"/>
          <w:highlight w:val="none"/>
          <w:lang w:val="en-US" w:eastAsia="zh-CN"/>
        </w:rPr>
        <w:t>方可进行入场装修。</w:t>
      </w:r>
    </w:p>
    <w:p w14:paraId="20A09297">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6、</w:t>
      </w:r>
      <w:r>
        <w:rPr>
          <w:rFonts w:hint="eastAsia" w:ascii="仿宋_GB2312" w:hAnsi="仿宋_GB2312" w:eastAsia="仿宋_GB2312" w:cs="仿宋_GB2312"/>
          <w:sz w:val="28"/>
          <w:szCs w:val="28"/>
          <w:highlight w:val="none"/>
          <w:lang w:val="en-US" w:eastAsia="zh-CN"/>
        </w:rPr>
        <w:t>承包人自“拍卖成交确认书”签订之日起10个工作日内与发包方签订合同。签订经营权承包合同前，承包人需交纳履约保证金2万元。该履约保证金在合同终止或解除后，自乙方按照甲方的要求交付场地完毕之日起7日内，由甲方无息退还乙方，但乙方因欠交相关费用及违约被扣除部分除外。</w:t>
      </w:r>
    </w:p>
    <w:p w14:paraId="08968883">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7、</w:t>
      </w:r>
      <w:r>
        <w:rPr>
          <w:rFonts w:hint="eastAsia" w:ascii="仿宋_GB2312" w:hAnsi="仿宋_GB2312" w:eastAsia="仿宋_GB2312" w:cs="仿宋_GB2312"/>
          <w:sz w:val="28"/>
          <w:szCs w:val="28"/>
          <w:highlight w:val="none"/>
          <w:lang w:val="en-US" w:eastAsia="zh-CN"/>
        </w:rPr>
        <w:t>承包人需在经营期间遵守库区的统一管理，不得从事任何违法违规活动。需做好学员的安全引导与秩序维护工作，确保学员人身安全，并保持经营区域的环境卫生，不得对周边环境造成污染或破坏。承包人需在规定的运营区域内经营，不得超出划定范围。</w:t>
      </w:r>
    </w:p>
    <w:p w14:paraId="31A6F7AB">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2D123C12">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7159EDD8">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4338540E">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320AB6B5">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4B32A20B">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18E67F74">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469BAD2D">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31531D56">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45937EF3">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377071D6">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4A64F954">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21F5DFEF">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26BEE17F">
      <w:pPr>
        <w:keepNext w:val="0"/>
        <w:keepLines w:val="0"/>
        <w:pageBreakBefore w:val="0"/>
        <w:kinsoku/>
        <w:wordWrap/>
        <w:overflowPunct/>
        <w:topLinePunct w:val="0"/>
        <w:bidi w:val="0"/>
        <w:spacing w:line="420" w:lineRule="exact"/>
        <w:textAlignment w:val="auto"/>
        <w:rPr>
          <w:rFonts w:hint="default" w:ascii="仿宋_GB2312" w:hAnsi="仿宋_GB2312" w:eastAsia="仿宋_GB2312" w:cs="仿宋_GB2312"/>
          <w:sz w:val="28"/>
          <w:szCs w:val="28"/>
          <w:highlight w:val="none"/>
          <w:lang w:val="en-US" w:eastAsia="zh-CN"/>
        </w:rPr>
      </w:pPr>
    </w:p>
    <w:p w14:paraId="485AA921">
      <w:pPr>
        <w:keepNext w:val="0"/>
        <w:keepLines w:val="0"/>
        <w:pageBreakBefore w:val="0"/>
        <w:kinsoku/>
        <w:wordWrap/>
        <w:overflowPunct/>
        <w:topLinePunct w:val="0"/>
        <w:bidi w:val="0"/>
        <w:spacing w:line="420" w:lineRule="exact"/>
        <w:textAlignment w:val="auto"/>
        <w:rPr>
          <w:rFonts w:hint="default" w:ascii="仿宋_GB2312" w:hAnsi="仿宋_GB2312" w:eastAsia="仿宋_GB2312" w:cs="仿宋_GB2312"/>
          <w:sz w:val="28"/>
          <w:szCs w:val="28"/>
          <w:highlight w:val="none"/>
          <w:lang w:val="en-US" w:eastAsia="zh-CN"/>
        </w:rPr>
      </w:pPr>
    </w:p>
    <w:p w14:paraId="7E21D768">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192D050E">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0013E9A5">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p w14:paraId="156454D9">
      <w:pPr>
        <w:keepNext w:val="0"/>
        <w:keepLines w:val="0"/>
        <w:pageBreakBefore w:val="0"/>
        <w:kinsoku/>
        <w:wordWrap/>
        <w:overflowPunct/>
        <w:topLinePunct w:val="0"/>
        <w:bidi w:val="0"/>
        <w:spacing w:line="42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黑岗口调蓄水库蝴蝶广场东侧轮滑培训</w:t>
      </w:r>
    </w:p>
    <w:p w14:paraId="07FD4B8C">
      <w:pPr>
        <w:keepNext w:val="0"/>
        <w:keepLines w:val="0"/>
        <w:pageBreakBefore w:val="0"/>
        <w:kinsoku/>
        <w:wordWrap/>
        <w:overflowPunct/>
        <w:topLinePunct w:val="0"/>
        <w:bidi w:val="0"/>
        <w:spacing w:line="420" w:lineRule="exact"/>
        <w:jc w:val="center"/>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经营权承包协议（模板）</w:t>
      </w:r>
    </w:p>
    <w:p w14:paraId="009A249D">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1AD4C9E8">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val="0"/>
          <w:bCs w:val="0"/>
          <w:sz w:val="28"/>
          <w:szCs w:val="28"/>
          <w:highlight w:val="none"/>
          <w:u w:val="single"/>
        </w:rPr>
      </w:pPr>
      <w:r>
        <w:rPr>
          <w:rFonts w:hint="eastAsia" w:ascii="仿宋_GB2312" w:hAnsi="仿宋_GB2312" w:eastAsia="仿宋_GB2312" w:cs="仿宋_GB2312"/>
          <w:b/>
          <w:bCs/>
          <w:sz w:val="28"/>
          <w:szCs w:val="28"/>
          <w:highlight w:val="none"/>
        </w:rPr>
        <w:t>甲方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出租方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val="0"/>
          <w:bCs w:val="0"/>
          <w:sz w:val="28"/>
          <w:szCs w:val="28"/>
          <w:highlight w:val="none"/>
          <w:u w:val="single"/>
          <w:lang w:val="en-US" w:eastAsia="zh-CN"/>
        </w:rPr>
        <w:t>开封西湖文旅投资有限公司</w:t>
      </w:r>
    </w:p>
    <w:p w14:paraId="29E6F80A">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bCs/>
          <w:sz w:val="28"/>
          <w:szCs w:val="28"/>
          <w:highlight w:val="none"/>
        </w:rPr>
        <w:t>住址：</w:t>
      </w:r>
      <w:r>
        <w:rPr>
          <w:rFonts w:hint="eastAsia" w:ascii="仿宋_GB2312" w:hAnsi="仿宋_GB2312" w:eastAsia="仿宋_GB2312" w:cs="仿宋_GB2312"/>
          <w:b w:val="0"/>
          <w:bCs w:val="0"/>
          <w:color w:val="auto"/>
          <w:sz w:val="28"/>
          <w:szCs w:val="28"/>
          <w:highlight w:val="none"/>
          <w:u w:val="single"/>
        </w:rPr>
        <w:t>河南自贸试验区开封片区汉兴西路与八大街交叉口</w:t>
      </w:r>
    </w:p>
    <w:p w14:paraId="4718A6F6">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bCs/>
          <w:sz w:val="28"/>
          <w:szCs w:val="28"/>
          <w:highlight w:val="none"/>
        </w:rPr>
        <w:t>统一社会信用代码：</w:t>
      </w:r>
      <w:r>
        <w:rPr>
          <w:rFonts w:hint="eastAsia" w:ascii="仿宋_GB2312" w:hAnsi="仿宋_GB2312" w:eastAsia="仿宋_GB2312" w:cs="仿宋_GB2312"/>
          <w:b w:val="0"/>
          <w:bCs w:val="0"/>
          <w:color w:val="auto"/>
          <w:sz w:val="28"/>
          <w:szCs w:val="28"/>
          <w:highlight w:val="none"/>
          <w:u w:val="single"/>
        </w:rPr>
        <w:t>914102003175043976</w:t>
      </w:r>
    </w:p>
    <w:p w14:paraId="7C904B03">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b/>
          <w:bCs/>
          <w:sz w:val="28"/>
          <w:szCs w:val="28"/>
          <w:highlight w:val="none"/>
        </w:rPr>
        <w:t>乙方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承租方</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w:t>
      </w:r>
    </w:p>
    <w:p w14:paraId="55C3E89B">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住址：</w:t>
      </w:r>
    </w:p>
    <w:p w14:paraId="599DDD0B">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bCs/>
          <w:sz w:val="28"/>
          <w:szCs w:val="28"/>
          <w:highlight w:val="none"/>
          <w:lang w:val="en-US" w:eastAsia="zh-CN"/>
        </w:rPr>
        <w:t>身份证号</w:t>
      </w:r>
      <w:r>
        <w:rPr>
          <w:rFonts w:hint="eastAsia" w:ascii="仿宋_GB2312" w:hAnsi="仿宋_GB2312" w:eastAsia="仿宋_GB2312" w:cs="仿宋_GB2312"/>
          <w:b/>
          <w:bCs/>
          <w:sz w:val="28"/>
          <w:szCs w:val="28"/>
          <w:highlight w:val="none"/>
        </w:rPr>
        <w:t>：</w:t>
      </w:r>
    </w:p>
    <w:p w14:paraId="67E9749F">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bCs/>
          <w:sz w:val="28"/>
          <w:szCs w:val="28"/>
          <w:highlight w:val="none"/>
          <w:lang w:val="en-US" w:eastAsia="zh-CN"/>
        </w:rPr>
        <w:t>手机号：</w:t>
      </w:r>
    </w:p>
    <w:p w14:paraId="6FA9C6F8">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根据《中华人民共和国民法典》等相关法律、法规的规定，甲、乙双方在“平等互利、协商一致”的基础上，就乙方承包甲方龙首大草坪区域经营权一事，为明确双方的权利、义务及相关事宜，特订立如下协议：</w:t>
      </w:r>
    </w:p>
    <w:p w14:paraId="703CC92E">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bCs/>
          <w:sz w:val="28"/>
          <w:szCs w:val="28"/>
          <w:highlight w:val="none"/>
        </w:rPr>
      </w:pPr>
      <w:bookmarkStart w:id="0" w:name="heading_2"/>
      <w:r>
        <w:rPr>
          <w:rFonts w:hint="eastAsia" w:ascii="仿宋_GB2312" w:hAnsi="仿宋_GB2312" w:eastAsia="仿宋_GB2312" w:cs="仿宋_GB2312"/>
          <w:b/>
          <w:bCs/>
          <w:sz w:val="28"/>
          <w:szCs w:val="28"/>
          <w:highlight w:val="none"/>
        </w:rPr>
        <w:t xml:space="preserve">第一条 </w:t>
      </w:r>
      <w:r>
        <w:rPr>
          <w:rFonts w:hint="eastAsia" w:ascii="仿宋_GB2312" w:hAnsi="仿宋_GB2312" w:eastAsia="仿宋_GB2312" w:cs="仿宋_GB2312"/>
          <w:b/>
          <w:bCs/>
          <w:sz w:val="28"/>
          <w:szCs w:val="28"/>
          <w:highlight w:val="none"/>
          <w:lang w:val="en-US" w:eastAsia="zh-CN"/>
        </w:rPr>
        <w:t>项目概况</w:t>
      </w:r>
      <w:r>
        <w:rPr>
          <w:rFonts w:hint="eastAsia" w:ascii="仿宋_GB2312" w:hAnsi="仿宋_GB2312" w:eastAsia="仿宋_GB2312" w:cs="仿宋_GB2312"/>
          <w:b/>
          <w:bCs/>
          <w:sz w:val="28"/>
          <w:szCs w:val="28"/>
          <w:highlight w:val="none"/>
        </w:rPr>
        <w:t>及核准经营业态</w:t>
      </w:r>
      <w:bookmarkEnd w:id="0"/>
    </w:p>
    <w:p w14:paraId="400E89B1">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bookmarkStart w:id="1" w:name="heading_4"/>
      <w:r>
        <w:rPr>
          <w:rFonts w:hint="eastAsia" w:ascii="仿宋_GB2312" w:hAnsi="仿宋_GB2312" w:eastAsia="仿宋_GB2312" w:cs="仿宋_GB2312"/>
          <w:sz w:val="28"/>
          <w:szCs w:val="28"/>
          <w:highlight w:val="none"/>
          <w:lang w:val="en-US" w:eastAsia="zh-CN"/>
        </w:rPr>
        <w:t>1、乙方承包甲方位于黑岗口调蓄水库蝴蝶广场东侧儿童游乐场攀岩区场地，面积约面积2200㎡。仅限于少儿及成人轮滑技能教学、轮滑体能集训、合规轮滑团建活动等。</w:t>
      </w:r>
    </w:p>
    <w:bookmarkEnd w:id="1"/>
    <w:p w14:paraId="67E819C5">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sz w:val="28"/>
          <w:szCs w:val="28"/>
          <w:highlight w:val="none"/>
          <w:lang w:val="en-US" w:eastAsia="zh-CN"/>
        </w:rPr>
        <w:t>2、禁止经营及作业行为：轮滑竞速比赛、大型聚集展演、轮滑摆摊售卖、附带餐饮市集、高危花式轮滑、夜间飙滑娱乐</w:t>
      </w:r>
      <w:bookmarkStart w:id="2" w:name="_GoBack"/>
      <w:bookmarkEnd w:id="2"/>
      <w:r>
        <w:rPr>
          <w:rFonts w:hint="eastAsia" w:ascii="仿宋_GB2312" w:hAnsi="仿宋_GB2312" w:eastAsia="仿宋_GB2312" w:cs="仿宋_GB2312"/>
          <w:sz w:val="28"/>
          <w:szCs w:val="28"/>
          <w:highlight w:val="none"/>
          <w:lang w:val="en-US" w:eastAsia="zh-CN"/>
        </w:rPr>
        <w:t>、外租场地散客轮滑。</w:t>
      </w:r>
    </w:p>
    <w:p w14:paraId="5F4303C4">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经营权期限及免承包款期</w:t>
      </w:r>
      <w:r>
        <w:rPr>
          <w:rFonts w:hint="eastAsia" w:ascii="仿宋_GB2312" w:hAnsi="仿宋_GB2312" w:eastAsia="仿宋_GB2312" w:cs="仿宋_GB2312"/>
          <w:b/>
          <w:sz w:val="28"/>
          <w:szCs w:val="28"/>
          <w:highlight w:val="none"/>
          <w:lang w:val="en-US" w:eastAsia="zh-CN"/>
        </w:rPr>
        <w:tab/>
      </w:r>
    </w:p>
    <w:p w14:paraId="0EAC30CB">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 xml:space="preserve">1、该项目经营权承包期限为 5 年，自    </w:t>
      </w:r>
      <w:r>
        <w:rPr>
          <w:rFonts w:hint="eastAsia" w:ascii="仿宋_GB2312" w:hAnsi="仿宋_GB2312" w:eastAsia="仿宋_GB2312" w:cs="仿宋_GB2312"/>
          <w:sz w:val="28"/>
          <w:szCs w:val="28"/>
          <w:highlight w:val="none"/>
          <w:lang w:val="en-US" w:eastAsia="zh-CN"/>
        </w:rPr>
        <w:t xml:space="preserve">年   </w:t>
      </w:r>
      <w:r>
        <w:rPr>
          <w:rFonts w:hint="eastAsia" w:ascii="仿宋_GB2312" w:hAnsi="仿宋_GB2312" w:eastAsia="仿宋_GB2312" w:cs="仿宋_GB2312"/>
          <w:sz w:val="28"/>
          <w:szCs w:val="28"/>
          <w:highlight w:val="none"/>
          <w:lang w:val="en-US" w:eastAsia="zh-CN"/>
        </w:rPr>
        <w:t xml:space="preserve">月   </w:t>
      </w:r>
      <w:r>
        <w:rPr>
          <w:rFonts w:hint="eastAsia" w:ascii="仿宋_GB2312" w:hAnsi="仿宋_GB2312" w:eastAsia="仿宋_GB2312" w:cs="仿宋_GB2312"/>
          <w:sz w:val="28"/>
          <w:szCs w:val="28"/>
          <w:highlight w:val="none"/>
          <w:lang w:val="en-US" w:eastAsia="zh-CN"/>
        </w:rPr>
        <w:t xml:space="preserve">日至   </w:t>
      </w:r>
      <w:r>
        <w:rPr>
          <w:rFonts w:hint="eastAsia" w:ascii="仿宋_GB2312" w:hAnsi="仿宋_GB2312" w:eastAsia="仿宋_GB2312" w:cs="仿宋_GB2312"/>
          <w:sz w:val="28"/>
          <w:szCs w:val="28"/>
          <w:highlight w:val="none"/>
          <w:lang w:val="en-US" w:eastAsia="zh-CN"/>
        </w:rPr>
        <w:t xml:space="preserve">年  </w:t>
      </w:r>
      <w:r>
        <w:rPr>
          <w:rFonts w:hint="eastAsia" w:ascii="仿宋_GB2312" w:hAnsi="仿宋_GB2312" w:eastAsia="仿宋_GB2312" w:cs="仿宋_GB2312"/>
          <w:sz w:val="28"/>
          <w:szCs w:val="28"/>
          <w:highlight w:val="none"/>
          <w:lang w:val="en-US" w:eastAsia="zh-CN"/>
        </w:rPr>
        <w:t xml:space="preserve">月   </w:t>
      </w:r>
      <w:r>
        <w:rPr>
          <w:rFonts w:hint="eastAsia" w:ascii="仿宋_GB2312" w:hAnsi="仿宋_GB2312" w:eastAsia="仿宋_GB2312" w:cs="仿宋_GB2312"/>
          <w:sz w:val="28"/>
          <w:szCs w:val="28"/>
          <w:highlight w:val="none"/>
          <w:lang w:val="en-US" w:eastAsia="zh-CN"/>
        </w:rPr>
        <w:t>日。</w:t>
      </w:r>
    </w:p>
    <w:p w14:paraId="228D4564">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2、经营权免承包款期</w:t>
      </w:r>
      <w:r>
        <w:rPr>
          <w:rFonts w:hint="eastAsia" w:ascii="仿宋_GB2312" w:hAnsi="仿宋_GB2312" w:eastAsia="仿宋_GB2312" w:cs="仿宋_GB2312"/>
          <w:sz w:val="28"/>
          <w:szCs w:val="28"/>
          <w:highlight w:val="none"/>
        </w:rPr>
        <w:t>为</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天，自</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日至</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用于安装隔离围挡、布置警示标识、核验教练资质、购买保险，筹备期水电、公摊管理费照常缴纳等。</w:t>
      </w:r>
    </w:p>
    <w:p w14:paraId="38CAC041">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rPr>
        <w:t>第三条：款项收取及履约保证金</w:t>
      </w:r>
    </w:p>
    <w:p w14:paraId="2CDD0DDF">
      <w:pPr>
        <w:pStyle w:val="4"/>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1、经营权承包款为竞拍成交年承包款，即（人民币）大写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 xml:space="preserve">  元每年，小写：¥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元，其中不含税金额（人民币）大写：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年，小写：¥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元；税金（人民币）大写：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年，小写：¥</w:t>
      </w:r>
      <w:r>
        <w:rPr>
          <w:rFonts w:hint="eastAsia" w:ascii="仿宋_GB2312" w:hAnsi="仿宋_GB2312" w:eastAsia="仿宋_GB2312" w:cs="仿宋_GB2312"/>
          <w:kern w:val="2"/>
          <w:sz w:val="28"/>
          <w:szCs w:val="28"/>
          <w:highlight w:val="none"/>
          <w:u w:val="singl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元。</w:t>
      </w:r>
    </w:p>
    <w:p w14:paraId="13099D67">
      <w:pPr>
        <w:pStyle w:val="4"/>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2、付款方式：</w:t>
      </w:r>
    </w:p>
    <w:p w14:paraId="222A11E1">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竞拍成功后乙方应按照开封市公共资源交易中心相关规定将首年承包款交付至指定账户。第二年至第三年的承包款分别于乙方前一年租赁期满</w:t>
      </w:r>
      <w:r>
        <w:rPr>
          <w:rFonts w:hint="eastAsia" w:ascii="仿宋_GB2312" w:hAnsi="仿宋_GB2312" w:eastAsia="仿宋_GB2312" w:cs="仿宋_GB2312"/>
          <w:kern w:val="2"/>
          <w:sz w:val="28"/>
          <w:szCs w:val="28"/>
          <w:highlight w:val="none"/>
          <w:u w:val="single"/>
          <w:lang w:val="en-US" w:eastAsia="zh-CN" w:bidi="ar-SA"/>
        </w:rPr>
        <w:t>30</w:t>
      </w:r>
      <w:r>
        <w:rPr>
          <w:rFonts w:hint="eastAsia" w:ascii="仿宋_GB2312" w:hAnsi="仿宋_GB2312" w:eastAsia="仿宋_GB2312" w:cs="仿宋_GB2312"/>
          <w:kern w:val="2"/>
          <w:sz w:val="28"/>
          <w:szCs w:val="28"/>
          <w:highlight w:val="none"/>
          <w:lang w:val="en-US" w:eastAsia="zh-CN" w:bidi="ar-SA"/>
        </w:rPr>
        <w:t>日前支付至甲方指定账户。</w:t>
      </w:r>
    </w:p>
    <w:p w14:paraId="267A02EC">
      <w:pPr>
        <w:keepNext w:val="0"/>
        <w:keepLines w:val="0"/>
        <w:pageBreakBefore w:val="0"/>
        <w:kinsoku/>
        <w:wordWrap/>
        <w:overflowPunct/>
        <w:topLinePunct w:val="0"/>
        <w:bidi w:val="0"/>
        <w:snapToGrid w:val="0"/>
        <w:spacing w:line="4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（1）户名：</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开封西湖文旅投资有限公司  </w:t>
      </w:r>
    </w:p>
    <w:p w14:paraId="5625C728">
      <w:pPr>
        <w:keepNext w:val="0"/>
        <w:keepLines w:val="0"/>
        <w:pageBreakBefore w:val="0"/>
        <w:kinsoku/>
        <w:wordWrap/>
        <w:overflowPunct/>
        <w:topLinePunct w:val="0"/>
        <w:bidi w:val="0"/>
        <w:snapToGrid w:val="0"/>
        <w:spacing w:line="4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（2）开户行：</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浦发银行开封分行</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p>
    <w:p w14:paraId="00C47D85">
      <w:pPr>
        <w:keepNext w:val="0"/>
        <w:keepLines w:val="0"/>
        <w:pageBreakBefore w:val="0"/>
        <w:kinsoku/>
        <w:wordWrap/>
        <w:overflowPunct/>
        <w:topLinePunct w:val="0"/>
        <w:bidi w:val="0"/>
        <w:snapToGrid w:val="0"/>
        <w:spacing w:line="4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（3）银行账号：</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18610078801700001667     </w:t>
      </w:r>
    </w:p>
    <w:p w14:paraId="4B676A24">
      <w:pPr>
        <w:pStyle w:val="4"/>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3、甲方收取乙方所支付的承包款后须向乙方出具正式发票。</w:t>
      </w:r>
    </w:p>
    <w:p w14:paraId="549AC3EE">
      <w:pPr>
        <w:pStyle w:val="4"/>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w:t>
      </w:r>
      <w:r>
        <w:rPr>
          <w:rFonts w:hint="eastAsia" w:ascii="仿宋_GB2312" w:hAnsi="仿宋_GB2312" w:eastAsia="仿宋_GB2312" w:cs="仿宋_GB2312"/>
          <w:sz w:val="28"/>
          <w:szCs w:val="28"/>
          <w:highlight w:val="none"/>
        </w:rPr>
        <w:t>履约保证金（人民币）大写：</w:t>
      </w:r>
      <w:r>
        <w:rPr>
          <w:rFonts w:hint="eastAsia" w:ascii="仿宋_GB2312" w:hAnsi="仿宋_GB2312" w:eastAsia="仿宋_GB2312" w:cs="仿宋_GB2312"/>
          <w:sz w:val="28"/>
          <w:szCs w:val="28"/>
          <w:highlight w:val="none"/>
          <w:u w:val="single"/>
          <w:lang w:val="en-US" w:eastAsia="zh-CN"/>
        </w:rPr>
        <w:t>贰万</w:t>
      </w:r>
      <w:r>
        <w:rPr>
          <w:rFonts w:hint="eastAsia" w:ascii="仿宋_GB2312" w:hAnsi="仿宋_GB2312" w:eastAsia="仿宋_GB2312" w:cs="仿宋_GB2312"/>
          <w:sz w:val="28"/>
          <w:szCs w:val="28"/>
          <w:highlight w:val="none"/>
          <w:u w:val="single"/>
        </w:rPr>
        <w:t>元整</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rPr>
        <w:t>0000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kern w:val="2"/>
          <w:sz w:val="28"/>
          <w:szCs w:val="28"/>
          <w:highlight w:val="none"/>
          <w:lang w:val="en-US" w:eastAsia="zh-CN" w:bidi="ar-SA"/>
        </w:rPr>
        <w:t>协议签订前乙方向甲方指定账户通过转账方式支付履约保证金。用于抵扣乙方违规罚款、欠费、设施损坏赔偿、游客理赔；合同到期无欠费、无违规、无赔付，甲方无息全额退还。</w:t>
      </w:r>
    </w:p>
    <w:p w14:paraId="0B2E8550">
      <w:pPr>
        <w:pStyle w:val="4"/>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5、其他自理费用：经营期间水电费、网络费、垃圾清运费、环境卫生费、安保费、人员工资、办证税费、经营保险、行政处罚费用，全部由乙方自行承担。</w:t>
      </w:r>
    </w:p>
    <w:p w14:paraId="2121FB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2" w:firstLineChars="200"/>
        <w:jc w:val="left"/>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第四条 轮滑项目专属安全管理</w:t>
      </w:r>
    </w:p>
    <w:p w14:paraId="4D355A5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kern w:val="2"/>
          <w:sz w:val="28"/>
          <w:szCs w:val="28"/>
          <w:highlight w:val="none"/>
          <w:lang w:val="en-US" w:eastAsia="zh-CN" w:bidi="ar-SA"/>
        </w:rPr>
        <w:t>4.1 保险硬性要求（无保险禁止开课）</w:t>
      </w:r>
    </w:p>
    <w:p w14:paraId="76184036">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1、乙方10日内必须投保：场地公众责任险、轮滑运动专项意外险、教练员责任险，保险受益人包含园区管理方；</w:t>
      </w:r>
    </w:p>
    <w:p w14:paraId="41B34122">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2、所有参训学员必须全员单独购买个人运动意外险，未购保险、未签署安全免责告知书学员，一律禁止参训；</w:t>
      </w:r>
    </w:p>
    <w:p w14:paraId="3F8B10C5">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3、保险到期前7日完成续保，保单原件交由甲方存档备查。</w:t>
      </w:r>
    </w:p>
    <w:p w14:paraId="205D19D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4.2 场地物防隔离安全要求</w:t>
      </w:r>
    </w:p>
    <w:p w14:paraId="20DF01D7">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1、乙方自费全边界安装加高硬质防撞围挡、缓冲防护条，隔离轮滑教学区与园区游客通行区，实现人车分流、滑行区域封闭管理，杜绝无关游客闯入滑行区碰撞受伤；</w:t>
      </w:r>
    </w:p>
    <w:p w14:paraId="3016ECBB">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2、场地四周张贴醒目警示：轮滑运动高危摔伤提示、监护人陪同须知、禁止闯入提示、年龄准入提示；</w:t>
      </w:r>
    </w:p>
    <w:p w14:paraId="4DDD5E14">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3、场地常备全套急救物资：急救箱、止血敷料、冰袋、骨折固定夹板、消毒用品，配备持证急救人员在岗；</w:t>
      </w:r>
    </w:p>
    <w:p w14:paraId="2B1676F3">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4、每日课前清理场地石子、水渍、杂物，排查地面凸起、裂缝，湿滑场地严禁开课。</w:t>
      </w:r>
    </w:p>
    <w:p w14:paraId="258F322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4.3 教练员教学安全硬性要求</w:t>
      </w:r>
    </w:p>
    <w:p w14:paraId="698F6A1C">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1、在岗教练必须持有轮滑执教证书、应急救护证书，无证人员严禁带课、代课；</w:t>
      </w:r>
    </w:p>
    <w:p w14:paraId="35EBE2C2">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2、小班管控：单场教学人数严控，1名教练带课学员不得超过12人，严控滑行密度；</w:t>
      </w:r>
    </w:p>
    <w:p w14:paraId="16147FBB">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3、课前必做：健康问询、护具穿戴检查（头盔、护膝、护肘、护手全员标配缺一不可）、热身拉伸、安全规则宣讲；</w:t>
      </w:r>
    </w:p>
    <w:p w14:paraId="157C5E41">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4、严禁教练放任学员追逐竞速、逆行、高速滑行、推搡打闹，严禁高危花式轮滑动作教学。</w:t>
      </w:r>
    </w:p>
    <w:p w14:paraId="32B475F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4.4 安全权责划分</w:t>
      </w:r>
    </w:p>
    <w:p w14:paraId="0BC6AE74">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轮滑本身属于高风险体育运动，参训学员自愿参训、监护人知情同意；场地内发生：学员自行摔倒、学员互相碰撞、学员磕碰围挡、学员突发疾病、闯入游客碰撞受伤、轮滑器材断裂伤人、教学失误摔伤、骨折擦伤、软组织损伤、伤残身故等一切人身伤害、财产损失、家属索赔、舆情上访、行政处罚，全部由乙方独立全责承担，包含全部医疗费、赔偿金、家属安抚费、律师费、行政处罚金。</w:t>
      </w:r>
    </w:p>
    <w:p w14:paraId="6C157DB0">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2、因乙方教学失职、防护缺失、教练缺位、违规开课，导致园区被教体、应急、市监部门处罚、园区名誉受损、园区涉诉，所有损失、罚款、维权费用，全部由乙方赔付甲方。</w:t>
      </w:r>
    </w:p>
    <w:p w14:paraId="79082F20">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3、甲方仅外围公共巡查，不参与教学、不看管学员、不承担任何轮滑相关安全责任。</w:t>
      </w:r>
    </w:p>
    <w:p w14:paraId="40D0B63E">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4.5 恶劣天气应急关停制度雨天、大风、高温暴晒、地面结冰、夜间光线不足、园区大型活动期间，乙方必须立即停止教学、疏散学员、关闭场地，不得强行开课，违者单次罚款1000元。</w:t>
      </w:r>
    </w:p>
    <w:p w14:paraId="436FDD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2" w:firstLineChars="200"/>
        <w:jc w:val="left"/>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第五条 场地及市容环境卫生管理</w:t>
      </w:r>
    </w:p>
    <w:p w14:paraId="32DDEBA6">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 地面保护：禁止重物碾压、尖锐物品划伤、油污腐蚀铺装，油污、污渍当日清洗干净；地面破损、划痕、开裂，乙方按园区铺装定损标准全额赔付修复。</w:t>
      </w:r>
    </w:p>
    <w:p w14:paraId="601A8D3D">
      <w:pPr>
        <w:keepNext w:val="0"/>
        <w:keepLines w:val="0"/>
        <w:pageBreakBefore w:val="0"/>
        <w:widowControl/>
        <w:suppressLineNumbers w:val="0"/>
        <w:kinsoku/>
        <w:wordWrap/>
        <w:overflowPunct/>
        <w:topLinePunct w:val="0"/>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kern w:val="2"/>
          <w:sz w:val="28"/>
          <w:szCs w:val="28"/>
          <w:highlight w:val="none"/>
          <w:lang w:val="en-US" w:eastAsia="zh-CN" w:bidi="ar-SA"/>
        </w:rPr>
        <w:t>2、 卫生管理：教学结束及时收纳轮滑器材、清理护具垃圾、场地杂物，恢复场地原貌，不得堆放器材占用公共区域。</w:t>
      </w:r>
    </w:p>
    <w:p w14:paraId="1F67BC98">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3、噪音管控：日间噪音符合城市园区标准，19:00后禁止外放音乐、叫卖、广播宣传，严控市集音量，杜绝扰民投诉。</w:t>
      </w:r>
    </w:p>
    <w:p w14:paraId="15DFED4D">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560" w:firstLineChars="200"/>
        <w:jc w:val="left"/>
        <w:textAlignment w:val="auto"/>
        <w:rPr>
          <w:rFonts w:hint="eastAsia" w:ascii="仿宋_GB2312" w:hAnsi="仿宋_GB2312" w:eastAsia="仿宋_GB2312" w:cs="仿宋_GB2312"/>
          <w:strike/>
          <w:dstrike w:val="0"/>
          <w:color w:val="FF000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4、消防管理：广场主消防通道宽度≥4米，全天畅通，严禁堆放货品、游乐器材堵塞通道，乙方全员掌握基础消防应急流程。</w:t>
      </w:r>
    </w:p>
    <w:p w14:paraId="6B18C2BE">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条：甲方权利与义务</w:t>
      </w:r>
    </w:p>
    <w:p w14:paraId="2FF3DB66">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1、甲方有权对乙方在本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约定范围内经营管理行为的合法、</w:t>
      </w:r>
      <w:r>
        <w:rPr>
          <w:rFonts w:hint="eastAsia" w:ascii="仿宋_GB2312" w:hAnsi="仿宋_GB2312" w:eastAsia="仿宋_GB2312" w:cs="仿宋_GB2312"/>
          <w:sz w:val="28"/>
          <w:szCs w:val="28"/>
          <w:highlight w:val="none"/>
          <w:lang w:val="en-US" w:eastAsia="zh-CN"/>
        </w:rPr>
        <w:t>合规性进行监督。</w:t>
      </w:r>
    </w:p>
    <w:p w14:paraId="566CE7CE">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2、甲方维护园区整体公共秩序、公共道路、公共消防正常使用；划定固定经营边界，统一管控园区营业时间、噪音、外摆、市容标准。</w:t>
      </w:r>
    </w:p>
    <w:p w14:paraId="5EA8E5EA">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甲方有权每日巡查乙方经营、卫生、消防、安全情况，下发整改通知书，乙方必须限时整改；如乙方拒不整改，甲方可关停场地、扣除全部履约保证金、单方解约。如整改不到位的，经一次整改仍未达标的，违约金为人民币2000元，两次未整改达标的，违约金为人民币5000元。如多次整改不到位，视为乙方违约，甲方有权单方解约，扣除全部履约保证金。</w:t>
      </w:r>
    </w:p>
    <w:p w14:paraId="71C13BBD">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4、甲方有权根据库区整体规划、政府市容环保、自然资源规划、城管、消防等政府部门要求，调整乙方经营区域、经营时段、外摆范围，乙方无条件配合，不得索要赔偿。</w:t>
      </w:r>
    </w:p>
    <w:p w14:paraId="3016B3FA">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5、甲方不参与乙方经营，不承担乙方经营亏损、劳资纠纷、游客人身财产损失、食安事故、游乐事故全部责任。</w:t>
      </w:r>
    </w:p>
    <w:p w14:paraId="5F3530B5">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6、遇库区活动、政府检查、应急防汛、市容整治，有权临时关停、调整项目经营点位，乙方无条件配合，不得索要停业补偿；</w:t>
      </w:r>
    </w:p>
    <w:p w14:paraId="38193149">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7、有权受理游客投诉，对乙方违规、失职行为直接处罚、扣除保证金、单方解约清退。</w:t>
      </w:r>
    </w:p>
    <w:p w14:paraId="291AFFEA">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8、经营权承包期结束或经营权承包期间终止协议时</w:t>
      </w:r>
      <w:r>
        <w:rPr>
          <w:rFonts w:hint="eastAsia" w:ascii="仿宋_GB2312" w:hAnsi="仿宋_GB2312" w:eastAsia="仿宋_GB2312" w:cs="仿宋_GB2312"/>
          <w:sz w:val="28"/>
          <w:szCs w:val="28"/>
          <w:highlight w:val="none"/>
        </w:rPr>
        <w:t>，收验</w:t>
      </w:r>
      <w:r>
        <w:rPr>
          <w:rFonts w:hint="eastAsia" w:ascii="仿宋_GB2312" w:hAnsi="仿宋_GB2312" w:eastAsia="仿宋_GB2312" w:cs="仿宋_GB2312"/>
          <w:sz w:val="28"/>
          <w:szCs w:val="28"/>
          <w:highlight w:val="none"/>
          <w:lang w:val="en-US" w:eastAsia="zh-CN"/>
        </w:rPr>
        <w:t>场地及设施维护状态</w:t>
      </w:r>
      <w:r>
        <w:rPr>
          <w:rFonts w:hint="eastAsia" w:ascii="仿宋_GB2312" w:hAnsi="仿宋_GB2312" w:eastAsia="仿宋_GB2312" w:cs="仿宋_GB2312"/>
          <w:sz w:val="28"/>
          <w:szCs w:val="28"/>
          <w:highlight w:val="none"/>
        </w:rPr>
        <w:t>；收验合格，费用结清，办理收验交接手续。</w:t>
      </w:r>
    </w:p>
    <w:p w14:paraId="0BD874D3">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经营权承包</w:t>
      </w:r>
      <w:r>
        <w:rPr>
          <w:rFonts w:hint="eastAsia" w:ascii="仿宋_GB2312" w:hAnsi="仿宋_GB2312" w:eastAsia="仿宋_GB2312" w:cs="仿宋_GB2312"/>
          <w:sz w:val="28"/>
          <w:szCs w:val="28"/>
          <w:highlight w:val="none"/>
        </w:rPr>
        <w:t>期间内遇不可抗力、水库规划调整、政府行为、相关政策变化或行业主管部门政策需终止</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的，甲方应当及时通知乙方解除协议，并无需承担任何违约责任；乙方应当在接到甲方通知后</w:t>
      </w:r>
      <w:r>
        <w:rPr>
          <w:rFonts w:hint="eastAsia" w:ascii="仿宋_GB2312" w:hAnsi="仿宋_GB2312" w:eastAsia="仿宋_GB2312" w:cs="仿宋_GB2312"/>
          <w:sz w:val="28"/>
          <w:szCs w:val="28"/>
          <w:highlight w:val="none"/>
          <w:lang w:val="en-US" w:eastAsia="zh-CN"/>
        </w:rPr>
        <w:t>一个月</w:t>
      </w:r>
      <w:r>
        <w:rPr>
          <w:rFonts w:hint="eastAsia" w:ascii="仿宋_GB2312" w:hAnsi="仿宋_GB2312" w:eastAsia="仿宋_GB2312" w:cs="仿宋_GB2312"/>
          <w:sz w:val="28"/>
          <w:szCs w:val="28"/>
          <w:highlight w:val="none"/>
        </w:rPr>
        <w:t>内</w:t>
      </w:r>
      <w:r>
        <w:rPr>
          <w:rFonts w:hint="eastAsia" w:ascii="仿宋_GB2312" w:hAnsi="仿宋_GB2312" w:eastAsia="仿宋_GB2312" w:cs="仿宋_GB2312"/>
          <w:sz w:val="28"/>
          <w:szCs w:val="28"/>
          <w:highlight w:val="none"/>
          <w:lang w:val="en-US" w:eastAsia="zh-CN"/>
        </w:rPr>
        <w:t>办理退租手续</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乙方已支付的承包款，甲方按照乙方实际使用时间结算后无息退还剩余部分；履约保证金在乙方结清所有费用且场地交接完毕后无息退还。</w:t>
      </w:r>
      <w:r>
        <w:rPr>
          <w:rFonts w:hint="eastAsia" w:ascii="仿宋_GB2312" w:hAnsi="仿宋_GB2312" w:eastAsia="仿宋_GB2312" w:cs="仿宋_GB2312"/>
          <w:sz w:val="28"/>
          <w:szCs w:val="28"/>
          <w:highlight w:val="none"/>
        </w:rPr>
        <w:t>乙方不得就本协议的解除向甲方主张任何形式的补偿、赔偿或损失</w:t>
      </w:r>
      <w:r>
        <w:rPr>
          <w:rFonts w:hint="eastAsia" w:ascii="仿宋_GB2312" w:hAnsi="仿宋_GB2312" w:eastAsia="仿宋_GB2312" w:cs="仿宋_GB2312"/>
          <w:sz w:val="28"/>
          <w:szCs w:val="28"/>
          <w:highlight w:val="none"/>
          <w:lang w:eastAsia="zh-CN"/>
        </w:rPr>
        <w:t>。</w:t>
      </w:r>
    </w:p>
    <w:p w14:paraId="0A067AB4">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第五条：乙方权利和义务</w:t>
      </w:r>
    </w:p>
    <w:p w14:paraId="3F1C21AA">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经营业态必须与竞拍公告发布业态保持一致，并应在本协议签订之日起10日内将其详细业态设计方案上报至甲方审核，经甲方审核通过，方可进行入场。如经营业态未经甲方审核同意，甲方有权解除合同，并扣除其履约保证金。</w:t>
      </w:r>
    </w:p>
    <w:p w14:paraId="0883E51E">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2、乙方严格执行国家法律法规和甲方的相关管理规定，且只能在本次中标之范围内合法文明经营，不得超区域或占道经营。</w:t>
      </w:r>
    </w:p>
    <w:p w14:paraId="1C656D28">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经营权承包期间，乙方全权承担全部安全责任：包含摔伤、用电起火、噪音扰民、游客纠纷、第三方索赔等一切事故，全部由乙方赔付处理，与甲方无关；乙方自行采取防火、防盗等安全措施。加强用电安全，禁止私接大功率电器，不得乱拖、乱接电线；若给甲方造成名誉、罚款损失，乙方全额赔偿甲方。</w:t>
      </w:r>
    </w:p>
    <w:p w14:paraId="5A4F5D4B">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4、常态化开展教练安全培训、应急施救演练，建立每日教学安全台账、学员签到台账；</w:t>
      </w:r>
    </w:p>
    <w:p w14:paraId="3DA60469">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5、不得冒用园区名义招生、宣传、签约收费，所有招生海报提前报备甲方审核；</w:t>
      </w:r>
    </w:p>
    <w:p w14:paraId="278CCCF3">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6、主动劝导园区游客远离轮滑滑行区，规避外来人员闯入受伤风险。</w:t>
      </w:r>
    </w:p>
    <w:p w14:paraId="1A73C454">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7、乙方规范用电用火，配齐灭火器、消防器材，落实夜间值守，节假日增派安保人员；服从园区统一节假日管理、防疫、市容、应急管控要求。</w:t>
      </w:r>
    </w:p>
    <w:p w14:paraId="6A155825">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8、接受甲方及政府职能机构对经营范围、卫生、质量、价格、广告、服务等方面的监督、检查，并服从管理，及时整改。</w:t>
      </w:r>
    </w:p>
    <w:p w14:paraId="4FE37ED9">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按库区电费收费标准规定及时向甲方交纳电费。</w:t>
      </w:r>
    </w:p>
    <w:p w14:paraId="1583A3B1">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乙方应保持经营区域的环境卫生及配套设施完好，并负责日常维修维护，不得在经营区域私搭乱建、破坏绿地及损坏周边配套设施。乙方如因经营需要在承包场地内进行任何新建、改建或搭建，仅限可移动式临时设施，且必须事先向甲方提交书面申请及方案，经甲方书面同意后方可实施；乙方严禁搭建不可移动性临建及任何固定建筑物、构筑物或设施。乙方违反本条前述约定的，甲方有权要求乙方限期拆除、恢复原状，乙方应承担违约责任并支付违约金人民币一万元每次，违约金不足以弥补甲方损失的乙方应另行赔偿；乙方逾期不拆除，甲方有权单方解除</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履约保证金不予退还，乙方应赔偿甲方全部损失。乙方如因经营需要确需搭建可移动式临时设施，必须向自然资源和规划局、城市管理局等相关政府部门办理并取得全部合法有效的行政许可手续，因搭建物未取得合法手续、手续瑕疵或失效，导致其被认定为违法建筑或被责令整改、罚款、没收、强制拆除的，由此产生的一切法律责任、行政处罚、经济损失（包括但不限于乙方自身损失、对第三方及甲方造成的损失、甲方商誉损失及处理纠纷的费用）均由乙方独立承担；发生前述任何情形的，甲方有权立即单方解除</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，乙方应在限期内拆除搭建物、恢复场地原状，履约保证金不予退还，乙方应赔偿甲方全部损失。</w:t>
      </w:r>
    </w:p>
    <w:p w14:paraId="03609AD2">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、自行办理营业执照、相关行业证照、税务登记等证照，</w:t>
      </w:r>
      <w:r>
        <w:rPr>
          <w:rFonts w:hint="eastAsia" w:ascii="仿宋_GB2312" w:hAnsi="仿宋_GB2312" w:eastAsia="仿宋_GB2312" w:cs="仿宋_GB2312"/>
          <w:color w:val="000000" w:themeColor="text1"/>
          <w:sz w:val="28"/>
          <w:szCs w:val="28"/>
          <w:highlight w:val="none"/>
          <w14:textFill>
            <w14:solidFill>
              <w14:schemeClr w14:val="tx1"/>
            </w14:solidFill>
          </w14:textFill>
        </w:rPr>
        <w:t>承担经营所发生的一切税费并承担相关责任，并</w:t>
      </w:r>
      <w:r>
        <w:rPr>
          <w:rFonts w:hint="eastAsia" w:ascii="仿宋_GB2312" w:hAnsi="仿宋_GB2312" w:eastAsia="仿宋_GB2312" w:cs="仿宋_GB2312"/>
          <w:sz w:val="28"/>
          <w:szCs w:val="28"/>
          <w:highlight w:val="none"/>
        </w:rPr>
        <w:t>在经营过程中规范用工，因乙方违法违规经营或其他违法违规行为造成的后果及损失由乙方自行承担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且乙方不得以甲方同意其经营业态方案为由，而主张甲方存在过错</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D3F46BF">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8"/>
          <w:szCs w:val="28"/>
          <w:highlight w:val="none"/>
          <w14:textFill>
            <w14:solidFill>
              <w14:schemeClr w14:val="tx1"/>
            </w14:solidFill>
          </w14:textFill>
        </w:rPr>
        <w:t>转让给第三方，不得将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用作抵（质）押、转让，不得以甲方名义进行经营和广告宣传活动。</w:t>
      </w:r>
    </w:p>
    <w:p w14:paraId="57AC2507">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13、乙方所有宣传、定价、活动，需提前报备甲方审核，不得使用园区名义私自对外招商、签约、宣传。</w:t>
      </w:r>
    </w:p>
    <w:p w14:paraId="5CA29B2F">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kinsoku/>
        <w:wordWrap/>
        <w:overflowPunct/>
        <w:topLinePunct w:val="0"/>
        <w:bidi w:val="0"/>
        <w:spacing w:line="420" w:lineRule="exact"/>
        <w:ind w:left="56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、在经营过程中，如乙方出现其他经济问题，乙方自行处理与</w:t>
      </w:r>
    </w:p>
    <w:p w14:paraId="7ADBC9E7">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A5E84C5">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16、乙方应及时劝阻游客危险行为，做好人流疏导，避免局部区域人员聚集。加强场地巡检，及时排查地面破损、设施松动、绿植倒伏等安全隐患，做到隐患立查立改。</w:t>
      </w:r>
    </w:p>
    <w:p w14:paraId="30CB63BD">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乙方应积极配合甲方及各级政府、行政主管部门在经营区域内依法开展的各项活动，包括但不限于应急救援演练、消防演练、安全检查、突发事件处置、公共卫生防控及其他公益性、行政性活动。对于上述活动，乙方应无条件予以配合，并按照要求提供必要的场地、设施及其他支持。</w:t>
      </w:r>
    </w:p>
    <w:p w14:paraId="6E4B41CA">
      <w:pPr>
        <w:keepNext w:val="0"/>
        <w:keepLines w:val="0"/>
        <w:pageBreakBefore w:val="0"/>
        <w:widowControl/>
        <w:suppressLineNumbers w:val="0"/>
        <w:kinsoku/>
        <w:wordWrap/>
        <w:overflowPunct/>
        <w:topLinePunct w:val="0"/>
        <w:bidi w:val="0"/>
        <w:spacing w:line="420" w:lineRule="exact"/>
        <w:ind w:firstLine="562" w:firstLineChars="200"/>
        <w:jc w:val="left"/>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第六条：违约责任</w:t>
      </w:r>
    </w:p>
    <w:p w14:paraId="62F66C6C">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乙方未能按期缴纳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经营权预缴保底租金</w:t>
      </w:r>
      <w:r>
        <w:rPr>
          <w:rFonts w:hint="eastAsia" w:ascii="仿宋_GB2312" w:hAnsi="仿宋_GB2312" w:eastAsia="仿宋_GB2312" w:cs="仿宋_GB2312"/>
          <w:color w:val="000000" w:themeColor="text1"/>
          <w:sz w:val="28"/>
          <w:szCs w:val="28"/>
          <w:highlight w:val="none"/>
          <w14:textFill>
            <w14:solidFill>
              <w14:schemeClr w14:val="tx1"/>
            </w14:solidFill>
          </w14:textFill>
        </w:rPr>
        <w:t>的，每逾期一日应按照应付年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highlight w:val="none"/>
          <w14:textFill>
            <w14:solidFill>
              <w14:schemeClr w14:val="tx1"/>
            </w14:solidFill>
          </w14:textFill>
        </w:rPr>
        <w:t>万分之五的标准向甲方支付违约金，逾期超过30日的，甲方有权单方解除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解除之日起七日内将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运营</w:t>
      </w:r>
      <w:r>
        <w:rPr>
          <w:rFonts w:hint="eastAsia" w:ascii="仿宋_GB2312" w:hAnsi="仿宋_GB2312" w:eastAsia="仿宋_GB2312" w:cs="仿宋_GB2312"/>
          <w:color w:val="000000" w:themeColor="text1"/>
          <w:sz w:val="28"/>
          <w:szCs w:val="28"/>
          <w:highlight w:val="none"/>
          <w14:textFill>
            <w14:solidFill>
              <w14:schemeClr w14:val="tx1"/>
            </w14:solidFill>
          </w14:textFill>
        </w:rPr>
        <w:t>场地恢复原状交付甲方，每逾期一日，乙方应向甲方缴纳每日1000元违约金。</w:t>
      </w:r>
    </w:p>
    <w:p w14:paraId="22AA5E54">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租赁期间严禁乙方擅自终止</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转包</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分包</w:t>
      </w:r>
      <w:r>
        <w:rPr>
          <w:rFonts w:hint="eastAsia" w:ascii="仿宋_GB2312" w:hAnsi="仿宋_GB2312" w:eastAsia="仿宋_GB2312" w:cs="仿宋_GB2312"/>
          <w:color w:val="000000" w:themeColor="text1"/>
          <w:sz w:val="28"/>
          <w:szCs w:val="28"/>
          <w:highlight w:val="none"/>
          <w14:textFill>
            <w14:solidFill>
              <w14:schemeClr w14:val="tx1"/>
            </w14:solidFill>
          </w14:textFill>
        </w:rPr>
        <w:t>，否则视为乙方违约，应向甲方支付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总价款15%的违约金，且甲方有权单方解除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，已收取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highlight w:val="none"/>
          <w14:textFill>
            <w14:solidFill>
              <w14:schemeClr w14:val="tx1"/>
            </w14:solidFill>
          </w14:textFill>
        </w:rPr>
        <w:t>不予退还。</w:t>
      </w:r>
    </w:p>
    <w:p w14:paraId="7CF16FFD">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租赁期间，任何一方无正当理由单方面解除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的，视为违约行为，违约方应赔偿因此给守约方造成的直接损失。如乙方因特殊原因或正当理由提前解除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的，已缴纳的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highlight w:val="none"/>
          <w14:textFill>
            <w14:solidFill>
              <w14:schemeClr w14:val="tx1"/>
            </w14:solidFill>
          </w14:textFill>
        </w:rPr>
        <w:t>按乙方已</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的日期（以整月计算，不足一个月按整月计）扣除，并且扣除履约保证金。</w:t>
      </w:r>
    </w:p>
    <w:p w14:paraId="3394063B">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kern w:val="2"/>
          <w:sz w:val="28"/>
          <w:szCs w:val="28"/>
          <w:highlight w:val="none"/>
          <w:lang w:val="en-US" w:eastAsia="zh-CN" w:bidi="ar-SA"/>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因乙方违约而导致甲方解除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的，已缴纳的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highlight w:val="none"/>
          <w14:textFill>
            <w14:solidFill>
              <w14:schemeClr w14:val="tx1"/>
            </w14:solidFill>
          </w14:textFill>
        </w:rPr>
        <w:t>不予退还。</w:t>
      </w:r>
    </w:p>
    <w:p w14:paraId="5F0E549C">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5、乙方擅自占用园区公共区域经营，每次违约金2000元，限期清理复原。</w:t>
      </w:r>
    </w:p>
    <w:p w14:paraId="13C70991">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6、卫生脏乱、超时10分钟内经营，单次罚款1000元，保证金抵扣；</w:t>
      </w:r>
    </w:p>
    <w:p w14:paraId="1216EEAC">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7、无证设施、噪音扰民、占道经营、安全员缺位：单次罚款2000-5000元；</w:t>
      </w:r>
    </w:p>
    <w:p w14:paraId="330FABAD">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8、乙方在经营期间因自身行为给甲方造成负面声誉影响的，导致甲方被行政处罚、舆情追责，包括但不限于网络负面报道等舆情、上级各部门各种形式的批评、通报、市长热线等，视为乙方违约，乙方应向甲方支付每次5000元的违约金，乙方全额承担罚款及维权费用。</w:t>
      </w:r>
    </w:p>
    <w:p w14:paraId="715C85FC">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9、</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终止后，乙方应在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终止之日起7日内将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w:t>
      </w:r>
      <w:r>
        <w:rPr>
          <w:rFonts w:hint="eastAsia" w:ascii="仿宋_GB2312" w:hAnsi="仿宋_GB2312" w:eastAsia="仿宋_GB2312" w:cs="仿宋_GB2312"/>
          <w:color w:val="000000" w:themeColor="text1"/>
          <w:sz w:val="28"/>
          <w:szCs w:val="28"/>
          <w:highlight w:val="none"/>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内的物品和设备，甲方有权自行处置。</w:t>
      </w:r>
    </w:p>
    <w:p w14:paraId="7A5BCB8E">
      <w:pPr>
        <w:keepNext w:val="0"/>
        <w:keepLines w:val="0"/>
        <w:pageBreakBefore w:val="0"/>
        <w:numPr>
          <w:ilvl w:val="0"/>
          <w:numId w:val="0"/>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上述违约金甲方有权直接自履约保证金中扣除，不足部分乙方向甲方支付。</w:t>
      </w:r>
    </w:p>
    <w:p w14:paraId="2E9D06CA">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b/>
          <w:color w:val="000000" w:themeColor="text1"/>
          <w:sz w:val="28"/>
          <w:szCs w:val="28"/>
          <w:highlight w:val="none"/>
          <w14:textFill>
            <w14:solidFill>
              <w14:schemeClr w14:val="tx1"/>
            </w14:solidFill>
          </w14:textFill>
        </w:rPr>
        <w:t>的解除</w:t>
      </w:r>
    </w:p>
    <w:p w14:paraId="4EBAB7F2">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乙方有下列任一违规情形，甲方无需提前告知，可直接单方解除合同、清退乙方、没收保证金，剩余租金不予退还：</w:t>
      </w:r>
    </w:p>
    <w:p w14:paraId="74CE75B2">
      <w:pPr>
        <w:keepNext w:val="0"/>
        <w:keepLines w:val="0"/>
        <w:pageBreakBefore w:val="0"/>
        <w:numPr>
          <w:ilvl w:val="0"/>
          <w:numId w:val="3"/>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发生学员摔伤事故拒不赔付、家属上访、负面舆情；</w:t>
      </w:r>
    </w:p>
    <w:p w14:paraId="1D028F3D">
      <w:pPr>
        <w:keepNext w:val="0"/>
        <w:keepLines w:val="0"/>
        <w:pageBreakBefore w:val="0"/>
        <w:numPr>
          <w:ilvl w:val="0"/>
          <w:numId w:val="3"/>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教练无证执教、学员无保险开课、不配戴护具教学；</w:t>
      </w:r>
    </w:p>
    <w:p w14:paraId="3DD288CC">
      <w:pPr>
        <w:keepNext w:val="0"/>
        <w:keepLines w:val="0"/>
        <w:pageBreakBefore w:val="0"/>
        <w:numPr>
          <w:ilvl w:val="0"/>
          <w:numId w:val="3"/>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超时教学、噪音扰民、跨区域轮滑滑行；</w:t>
      </w:r>
    </w:p>
    <w:p w14:paraId="039423F3">
      <w:pPr>
        <w:keepNext w:val="0"/>
        <w:keepLines w:val="0"/>
        <w:pageBreakBefore w:val="0"/>
        <w:numPr>
          <w:ilvl w:val="0"/>
          <w:numId w:val="3"/>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雨天湿滑强行开课、围挡缺失开放教学；</w:t>
      </w:r>
    </w:p>
    <w:p w14:paraId="3B650E92">
      <w:pPr>
        <w:keepNext w:val="0"/>
        <w:keepLines w:val="0"/>
        <w:pageBreakBefore w:val="0"/>
        <w:numPr>
          <w:ilvl w:val="0"/>
          <w:numId w:val="3"/>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拖欠费用超15日；</w:t>
      </w:r>
    </w:p>
    <w:p w14:paraId="7C7200D0">
      <w:pPr>
        <w:keepNext w:val="0"/>
        <w:keepLines w:val="0"/>
        <w:pageBreakBefore w:val="0"/>
        <w:numPr>
          <w:ilvl w:val="0"/>
          <w:numId w:val="3"/>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转租挂靠办学、破坏园区地面；</w:t>
      </w:r>
    </w:p>
    <w:p w14:paraId="251FC3EC">
      <w:pPr>
        <w:keepNext w:val="0"/>
        <w:keepLines w:val="0"/>
        <w:pageBreakBefore w:val="0"/>
        <w:numPr>
          <w:ilvl w:val="0"/>
          <w:numId w:val="3"/>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被教体、应急部门立案处罚牵连园区追责。</w:t>
      </w:r>
    </w:p>
    <w:p w14:paraId="61EA1EA0">
      <w:pPr>
        <w:keepNext w:val="0"/>
        <w:keepLines w:val="0"/>
        <w:pageBreakBefore w:val="0"/>
        <w:numPr>
          <w:ilvl w:val="0"/>
          <w:numId w:val="3"/>
        </w:numPr>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违反城管、自然资源和规划、消防、市监处罚，牵连库区被追责。</w:t>
      </w:r>
    </w:p>
    <w:p w14:paraId="59D02663">
      <w:pPr>
        <w:pStyle w:val="4"/>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2、甲方有下列情形之一的，乙方有权单方解除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15D7B1C">
      <w:pPr>
        <w:pStyle w:val="4"/>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未按约定时间交付该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8"/>
          <w:szCs w:val="28"/>
          <w:highlight w:val="none"/>
          <w14:textFill>
            <w14:solidFill>
              <w14:schemeClr w14:val="tx1"/>
            </w14:solidFill>
          </w14:textFill>
        </w:rPr>
        <w:t>达30日的；</w:t>
      </w:r>
    </w:p>
    <w:p w14:paraId="6EE8858D">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第八条：不可抗力因素</w:t>
      </w:r>
    </w:p>
    <w:p w14:paraId="69585952">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履行期间因不可抗力（含各级政府和行业部门的行为及政策变化）导致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不能履行或不能完全履行的，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协议</w:t>
      </w:r>
      <w:r>
        <w:rPr>
          <w:rFonts w:hint="eastAsia" w:ascii="仿宋_GB2312" w:hAnsi="仿宋_GB2312" w:eastAsia="仿宋_GB2312" w:cs="仿宋_GB2312"/>
          <w:color w:val="000000" w:themeColor="text1"/>
          <w:sz w:val="28"/>
          <w:szCs w:val="28"/>
          <w:highlight w:val="none"/>
          <w14:textFill>
            <w14:solidFill>
              <w14:schemeClr w14:val="tx1"/>
            </w14:solidFill>
          </w14:textFill>
        </w:rPr>
        <w:t>各方均不承担违约责任。</w:t>
      </w:r>
    </w:p>
    <w:p w14:paraId="7D679C97">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第九条：争议解决方式</w:t>
      </w:r>
    </w:p>
    <w:p w14:paraId="0AEF4C16">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双方因本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的履行或与本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有关的其他事项而发生的争议，应由双方友好协商解决。如协商不成或不愿协商，则任何一方有权将争议提交甲方所在地人民法院解决。</w:t>
      </w:r>
    </w:p>
    <w:p w14:paraId="1946ABF4">
      <w:pPr>
        <w:keepNext w:val="0"/>
        <w:keepLines w:val="0"/>
        <w:pageBreakBefore w:val="0"/>
        <w:kinsoku/>
        <w:wordWrap/>
        <w:overflowPunct/>
        <w:topLinePunct w:val="0"/>
        <w:bidi w:val="0"/>
        <w:spacing w:line="42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第十条：附则</w:t>
      </w:r>
    </w:p>
    <w:p w14:paraId="473F7FD0">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highlight w:val="none"/>
        </w:rPr>
        <w:t>1、本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自双方法定代表人或授权代表签字或盖章并加盖公章之日起生效。本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一式</w:t>
      </w:r>
      <w:r>
        <w:rPr>
          <w:rFonts w:hint="eastAsia" w:ascii="仿宋_GB2312" w:hAnsi="仿宋_GB2312" w:eastAsia="仿宋_GB2312" w:cs="仿宋_GB2312"/>
          <w:sz w:val="28"/>
          <w:szCs w:val="28"/>
          <w:highlight w:val="none"/>
          <w:u w:val="single"/>
          <w:lang w:val="en-US" w:eastAsia="zh-CN"/>
        </w:rPr>
        <w:t>陆</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u w:val="single"/>
          <w:lang w:val="en-US" w:eastAsia="zh-CN"/>
        </w:rPr>
        <w:t>肆</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lang w:val="en-US" w:eastAsia="zh-CN"/>
        </w:rPr>
        <w:t>贰</w:t>
      </w:r>
      <w:r>
        <w:rPr>
          <w:rFonts w:hint="eastAsia" w:ascii="仿宋_GB2312" w:hAnsi="仿宋_GB2312" w:eastAsia="仿宋_GB2312" w:cs="仿宋_GB2312"/>
          <w:sz w:val="28"/>
          <w:szCs w:val="28"/>
          <w:highlight w:val="none"/>
        </w:rPr>
        <w:t>份，具有同等的法律效力。</w:t>
      </w:r>
    </w:p>
    <w:p w14:paraId="1780F18E">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2、双方对</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内容的变更或补充应采用书面形式，并由双方签字盖章作为</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附件，附件与本</w:t>
      </w:r>
      <w:r>
        <w:rPr>
          <w:rFonts w:hint="eastAsia" w:ascii="仿宋_GB2312" w:hAnsi="仿宋_GB2312" w:eastAsia="仿宋_GB2312" w:cs="仿宋_GB2312"/>
          <w:sz w:val="28"/>
          <w:szCs w:val="28"/>
          <w:highlight w:val="none"/>
          <w:lang w:eastAsia="zh-CN"/>
        </w:rPr>
        <w:t>协议</w:t>
      </w:r>
      <w:r>
        <w:rPr>
          <w:rFonts w:hint="eastAsia" w:ascii="仿宋_GB2312" w:hAnsi="仿宋_GB2312" w:eastAsia="仿宋_GB2312" w:cs="仿宋_GB2312"/>
          <w:sz w:val="28"/>
          <w:szCs w:val="28"/>
          <w:highlight w:val="none"/>
        </w:rPr>
        <w:t>具有同等的法律效力。</w:t>
      </w:r>
    </w:p>
    <w:p w14:paraId="48BF98D8">
      <w:pPr>
        <w:keepNext w:val="0"/>
        <w:keepLines w:val="0"/>
        <w:pageBreakBefore w:val="0"/>
        <w:kinsoku/>
        <w:wordWrap/>
        <w:overflowPunct/>
        <w:topLinePunct w:val="0"/>
        <w:bidi w:val="0"/>
        <w:spacing w:line="420" w:lineRule="exact"/>
        <w:ind w:firstLine="560" w:firstLineChars="200"/>
        <w:textAlignment w:val="auto"/>
        <w:rPr>
          <w:rFonts w:hint="eastAsia" w:ascii="仿宋_GB2312" w:hAnsi="仿宋_GB2312" w:eastAsia="仿宋_GB2312" w:cs="仿宋_GB2312"/>
          <w:sz w:val="28"/>
          <w:szCs w:val="28"/>
          <w:highlight w:val="none"/>
        </w:rPr>
      </w:pPr>
    </w:p>
    <w:p w14:paraId="79578283">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（以下无正文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为签署页</w:t>
      </w:r>
      <w:r>
        <w:rPr>
          <w:rFonts w:hint="eastAsia" w:ascii="仿宋_GB2312" w:hAnsi="仿宋_GB2312" w:eastAsia="仿宋_GB2312" w:cs="仿宋_GB2312"/>
          <w:sz w:val="28"/>
          <w:szCs w:val="28"/>
          <w:highlight w:val="none"/>
        </w:rPr>
        <w:t>）</w:t>
      </w:r>
    </w:p>
    <w:p w14:paraId="2C2D9169">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8"/>
          <w:szCs w:val="28"/>
          <w:highlight w:val="none"/>
        </w:rPr>
      </w:pPr>
    </w:p>
    <w:p w14:paraId="6B302649">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    （盖章）             乙方：     （盖章</w:t>
      </w:r>
      <w:r>
        <w:rPr>
          <w:rFonts w:hint="eastAsia" w:ascii="仿宋_GB2312" w:hAnsi="仿宋_GB2312" w:eastAsia="仿宋_GB2312" w:cs="仿宋_GB2312"/>
          <w:sz w:val="28"/>
          <w:szCs w:val="28"/>
          <w:highlight w:val="none"/>
          <w:lang w:val="en-US" w:eastAsia="zh-CN"/>
        </w:rPr>
        <w:t>或签字</w:t>
      </w:r>
      <w:r>
        <w:rPr>
          <w:rFonts w:hint="eastAsia" w:ascii="仿宋_GB2312" w:hAnsi="仿宋_GB2312" w:eastAsia="仿宋_GB2312" w:cs="仿宋_GB2312"/>
          <w:sz w:val="28"/>
          <w:szCs w:val="28"/>
          <w:highlight w:val="none"/>
        </w:rPr>
        <w:t>）</w:t>
      </w:r>
    </w:p>
    <w:p w14:paraId="3139A0C0">
      <w:pPr>
        <w:pStyle w:val="10"/>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0AD8C4B0">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法定代表人或                   法定代表人或 </w:t>
      </w:r>
    </w:p>
    <w:p w14:paraId="38FE4CBC">
      <w:pPr>
        <w:pStyle w:val="10"/>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0ED29600">
      <w:pPr>
        <w:keepNext w:val="0"/>
        <w:keepLines w:val="0"/>
        <w:pageBreakBefore w:val="0"/>
        <w:kinsoku/>
        <w:wordWrap/>
        <w:overflowPunct/>
        <w:topLinePunct w:val="0"/>
        <w:bidi w:val="0"/>
        <w:spacing w:line="42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委托代理人：（签字）             委托代理人：（签字）</w:t>
      </w:r>
    </w:p>
    <w:p w14:paraId="3FD13F56">
      <w:pPr>
        <w:pStyle w:val="10"/>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rPr>
      </w:pPr>
    </w:p>
    <w:p w14:paraId="65103D54">
      <w:pPr>
        <w:keepNext w:val="0"/>
        <w:keepLines w:val="0"/>
        <w:pageBreakBefore w:val="0"/>
        <w:kinsoku/>
        <w:wordWrap/>
        <w:overflowPunct/>
        <w:topLinePunct w:val="0"/>
        <w:bidi w:val="0"/>
        <w:spacing w:line="420" w:lineRule="exact"/>
        <w:ind w:firstLine="3920" w:firstLineChars="1400"/>
        <w:jc w:val="left"/>
        <w:textAlignment w:val="auto"/>
        <w:rPr>
          <w:rFonts w:hint="eastAsia" w:ascii="仿宋_GB2312" w:hAnsi="仿宋_GB2312" w:eastAsia="仿宋_GB2312" w:cs="仿宋_GB2312"/>
          <w:sz w:val="28"/>
          <w:szCs w:val="28"/>
          <w:highlight w:val="none"/>
        </w:rPr>
      </w:pPr>
    </w:p>
    <w:p w14:paraId="2E4D3EF2">
      <w:pPr>
        <w:keepNext w:val="0"/>
        <w:keepLines w:val="0"/>
        <w:pageBreakBefore w:val="0"/>
        <w:kinsoku/>
        <w:wordWrap/>
        <w:overflowPunct/>
        <w:topLinePunct w:val="0"/>
        <w:bidi w:val="0"/>
        <w:spacing w:line="420" w:lineRule="exact"/>
        <w:ind w:firstLine="3920" w:firstLineChars="14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 xml:space="preserve">签订日期：    年   月 </w:t>
      </w:r>
      <w:r>
        <w:rPr>
          <w:rFonts w:hint="eastAsia" w:ascii="仿宋_GB2312" w:hAnsi="仿宋_GB2312" w:eastAsia="仿宋_GB2312" w:cs="仿宋_GB2312"/>
          <w:sz w:val="28"/>
          <w:szCs w:val="28"/>
          <w:highlight w:val="none"/>
          <w:lang w:val="en-US" w:eastAsia="zh-CN"/>
        </w:rPr>
        <w:t xml:space="preserve"> 日</w:t>
      </w:r>
    </w:p>
    <w:p w14:paraId="2898BE92">
      <w:pPr>
        <w:keepNext w:val="0"/>
        <w:keepLines w:val="0"/>
        <w:pageBreakBefore w:val="0"/>
        <w:kinsoku/>
        <w:wordWrap/>
        <w:overflowPunct/>
        <w:topLinePunct w:val="0"/>
        <w:bidi w:val="0"/>
        <w:spacing w:line="420" w:lineRule="exact"/>
        <w:textAlignment w:val="auto"/>
        <w:rPr>
          <w:rFonts w:hint="eastAsia" w:ascii="仿宋_GB2312" w:hAnsi="仿宋_GB2312" w:eastAsia="仿宋_GB2312" w:cs="仿宋_GB2312"/>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12E1532-5B23-4C00-815E-8448DFD3ACE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428E6"/>
    <w:multiLevelType w:val="singleLevel"/>
    <w:tmpl w:val="F75428E6"/>
    <w:lvl w:ilvl="0" w:tentative="0">
      <w:start w:val="1"/>
      <w:numFmt w:val="decimal"/>
      <w:suff w:val="nothing"/>
      <w:lvlText w:val="%1、"/>
      <w:lvlJc w:val="left"/>
    </w:lvl>
  </w:abstractNum>
  <w:abstractNum w:abstractNumId="1">
    <w:nsid w:val="0D1F071A"/>
    <w:multiLevelType w:val="singleLevel"/>
    <w:tmpl w:val="0D1F071A"/>
    <w:lvl w:ilvl="0" w:tentative="0">
      <w:start w:val="2"/>
      <w:numFmt w:val="chineseCounting"/>
      <w:suff w:val="nothing"/>
      <w:lvlText w:val="%1、"/>
      <w:lvlJc w:val="left"/>
      <w:rPr>
        <w:rFonts w:hint="eastAsia"/>
      </w:rPr>
    </w:lvl>
  </w:abstractNum>
  <w:abstractNum w:abstractNumId="2">
    <w:nsid w:val="50DD43EC"/>
    <w:multiLevelType w:val="singleLevel"/>
    <w:tmpl w:val="50DD43E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1EC3436"/>
    <w:rsid w:val="07B81938"/>
    <w:rsid w:val="08AB4B1F"/>
    <w:rsid w:val="0A013EA1"/>
    <w:rsid w:val="15CA6B46"/>
    <w:rsid w:val="16AE5750"/>
    <w:rsid w:val="1BC66679"/>
    <w:rsid w:val="243D208B"/>
    <w:rsid w:val="27134BF4"/>
    <w:rsid w:val="2B697AF9"/>
    <w:rsid w:val="2CA01CEB"/>
    <w:rsid w:val="2D8D5C78"/>
    <w:rsid w:val="30EE4C7F"/>
    <w:rsid w:val="31377332"/>
    <w:rsid w:val="326B6126"/>
    <w:rsid w:val="33144E8D"/>
    <w:rsid w:val="34FA0BAE"/>
    <w:rsid w:val="38763D22"/>
    <w:rsid w:val="3CB4617B"/>
    <w:rsid w:val="3E2C3283"/>
    <w:rsid w:val="40F831AD"/>
    <w:rsid w:val="44A4522B"/>
    <w:rsid w:val="49DF7638"/>
    <w:rsid w:val="4C854292"/>
    <w:rsid w:val="4C8B15B0"/>
    <w:rsid w:val="51BA5383"/>
    <w:rsid w:val="532A6DFE"/>
    <w:rsid w:val="53E24532"/>
    <w:rsid w:val="58C91339"/>
    <w:rsid w:val="5AAA72D0"/>
    <w:rsid w:val="5AE944C2"/>
    <w:rsid w:val="5C9A677B"/>
    <w:rsid w:val="615E5A6B"/>
    <w:rsid w:val="6C5F0763"/>
    <w:rsid w:val="6DA14AE4"/>
    <w:rsid w:val="6DBD193A"/>
    <w:rsid w:val="70980EDC"/>
    <w:rsid w:val="71877260"/>
    <w:rsid w:val="726228C1"/>
    <w:rsid w:val="743564D9"/>
    <w:rsid w:val="75EF5689"/>
    <w:rsid w:val="762D4575"/>
    <w:rsid w:val="767B5247"/>
    <w:rsid w:val="776C2CCB"/>
    <w:rsid w:val="77B27036"/>
    <w:rsid w:val="7DA95783"/>
    <w:rsid w:val="7E1E6FCE"/>
    <w:rsid w:val="7E3D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after="120"/>
    </w:pPr>
  </w:style>
  <w:style w:type="paragraph" w:styleId="6">
    <w:name w:val="Plain Text"/>
    <w:basedOn w:val="1"/>
    <w:next w:val="5"/>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customStyle="1" w:styleId="10">
    <w:name w:val="Default"/>
    <w:basedOn w:val="6"/>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6973</Words>
  <Characters>7096</Characters>
  <Lines>0</Lines>
  <Paragraphs>0</Paragraphs>
  <TotalTime>3</TotalTime>
  <ScaleCrop>false</ScaleCrop>
  <LinksUpToDate>false</LinksUpToDate>
  <CharactersWithSpaces>7320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2026-07-09T10:39:41Z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BAEF3AAFC86B46E3887191624967039F_13</vt:lpwstr>
  </property>
  <property fmtid="{D5CDD505-2E9C-101B-9397-08002B2CF9AE}" pid="4" name="KSOTemplateDocerSaveRecord">
    <vt:lpwstr>eyJoZGlkIjoiNzliYWNkOGZmODQwMTYxNzM1OTEwOWMxMzY5NDI3Y2UiLCJ1c2VySWQiOiI3NTUxNjg5NzEifQ==</vt:lpwstr>
  </property>
</Properties>
</file>