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8B1A3">
      <w:pPr>
        <w:keepNext w:val="0"/>
        <w:keepLines w:val="0"/>
        <w:pageBreakBefore w:val="0"/>
        <w:kinsoku/>
        <w:wordWrap/>
        <w:overflowPunct/>
        <w:topLinePunct w:val="0"/>
        <w:bidi w:val="0"/>
        <w:snapToGrid/>
        <w:spacing w:line="420" w:lineRule="exact"/>
        <w:jc w:val="center"/>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黑岗口调蓄水库西岸银沙滩西南侧场地</w:t>
      </w:r>
    </w:p>
    <w:p w14:paraId="76A915A6">
      <w:pPr>
        <w:keepNext w:val="0"/>
        <w:keepLines w:val="0"/>
        <w:pageBreakBefore w:val="0"/>
        <w:kinsoku/>
        <w:wordWrap/>
        <w:overflowPunct/>
        <w:topLinePunct w:val="0"/>
        <w:bidi w:val="0"/>
        <w:snapToGrid/>
        <w:spacing w:line="420" w:lineRule="exact"/>
        <w:jc w:val="center"/>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经营权情况说明</w:t>
      </w:r>
    </w:p>
    <w:p w14:paraId="0DD87406">
      <w:pPr>
        <w:keepNext w:val="0"/>
        <w:keepLines w:val="0"/>
        <w:pageBreakBefore w:val="0"/>
        <w:numPr>
          <w:ilvl w:val="0"/>
          <w:numId w:val="0"/>
        </w:numPr>
        <w:kinsoku/>
        <w:wordWrap/>
        <w:overflowPunct/>
        <w:topLinePunct w:val="0"/>
        <w:bidi w:val="0"/>
        <w:snapToGrid/>
        <w:spacing w:line="420" w:lineRule="exact"/>
        <w:ind w:firstLine="560" w:firstLineChars="200"/>
        <w:jc w:val="left"/>
        <w:textAlignment w:val="auto"/>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kern w:val="2"/>
          <w:sz w:val="28"/>
          <w:szCs w:val="28"/>
          <w:highlight w:val="none"/>
          <w:lang w:val="en-US" w:eastAsia="zh-CN" w:bidi="ar-SA"/>
        </w:rPr>
        <w:t>一、</w:t>
      </w:r>
      <w:r>
        <w:rPr>
          <w:rFonts w:hint="eastAsia" w:ascii="仿宋_GB2312" w:hAnsi="仿宋_GB2312" w:eastAsia="仿宋_GB2312" w:cs="仿宋_GB2312"/>
          <w:sz w:val="28"/>
          <w:szCs w:val="28"/>
          <w:highlight w:val="none"/>
          <w:lang w:val="en-US" w:eastAsia="zh-CN"/>
        </w:rPr>
        <w:t>项目</w:t>
      </w:r>
      <w:r>
        <w:rPr>
          <w:rFonts w:hint="eastAsia" w:ascii="仿宋_GB2312" w:hAnsi="仿宋_GB2312" w:eastAsia="仿宋_GB2312" w:cs="仿宋_GB2312"/>
          <w:sz w:val="28"/>
          <w:szCs w:val="28"/>
          <w:highlight w:val="none"/>
        </w:rPr>
        <w:t>概况及</w:t>
      </w:r>
      <w:r>
        <w:rPr>
          <w:rFonts w:hint="eastAsia" w:ascii="仿宋_GB2312" w:hAnsi="仿宋_GB2312" w:eastAsia="仿宋_GB2312" w:cs="仿宋_GB2312"/>
          <w:sz w:val="28"/>
          <w:szCs w:val="28"/>
          <w:highlight w:val="none"/>
          <w:lang w:val="en-US" w:eastAsia="zh-CN"/>
        </w:rPr>
        <w:t>经营权期限</w:t>
      </w:r>
    </w:p>
    <w:p w14:paraId="60FA7D35">
      <w:pPr>
        <w:keepNext w:val="0"/>
        <w:keepLines w:val="0"/>
        <w:pageBreakBefore w:val="0"/>
        <w:numPr>
          <w:ilvl w:val="0"/>
          <w:numId w:val="0"/>
        </w:numPr>
        <w:kinsoku/>
        <w:wordWrap/>
        <w:overflowPunct/>
        <w:topLinePunct w:val="0"/>
        <w:bidi w:val="0"/>
        <w:snapToGrid/>
        <w:spacing w:line="420" w:lineRule="exact"/>
        <w:ind w:firstLine="560" w:firstLineChars="200"/>
        <w:jc w:val="lef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1、项目位于黑岗口调蓄水库西岸银沙滩西南侧场地，面积约面</w:t>
      </w:r>
      <w:r>
        <w:rPr>
          <w:rFonts w:hint="eastAsia" w:ascii="仿宋_GB2312" w:hAnsi="仿宋_GB2312" w:eastAsia="仿宋_GB2312" w:cs="仿宋_GB2312"/>
          <w:kern w:val="2"/>
          <w:sz w:val="28"/>
          <w:szCs w:val="28"/>
          <w:highlight w:val="none"/>
          <w:lang w:val="en-US" w:eastAsia="zh-CN" w:bidi="ar-SA"/>
        </w:rPr>
        <w:t>积3500㎡</w:t>
      </w:r>
      <w:r>
        <w:rPr>
          <w:rFonts w:hint="eastAsia" w:ascii="仿宋_GB2312" w:hAnsi="仿宋_GB2312" w:eastAsia="仿宋_GB2312" w:cs="仿宋_GB2312"/>
          <w:kern w:val="2"/>
          <w:sz w:val="28"/>
          <w:szCs w:val="28"/>
          <w:highlight w:val="none"/>
          <w:lang w:val="en-US" w:eastAsia="zh-CN" w:bidi="ar-SA"/>
        </w:rPr>
        <w:t>。承租人经营活动须同时包括如下两类：</w:t>
      </w:r>
    </w:p>
    <w:p w14:paraId="5298876D">
      <w:pPr>
        <w:keepNext w:val="0"/>
        <w:keepLines w:val="0"/>
        <w:pageBreakBefore w:val="0"/>
        <w:numPr>
          <w:ilvl w:val="0"/>
          <w:numId w:val="0"/>
        </w:numPr>
        <w:kinsoku/>
        <w:wordWrap/>
        <w:overflowPunct/>
        <w:topLinePunct w:val="0"/>
        <w:bidi w:val="0"/>
        <w:snapToGrid/>
        <w:spacing w:line="420" w:lineRule="exact"/>
        <w:ind w:firstLine="562" w:firstLineChars="200"/>
        <w:jc w:val="lef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合规儿童游乐业态：</w:t>
      </w:r>
      <w:r>
        <w:rPr>
          <w:rFonts w:hint="eastAsia" w:ascii="仿宋_GB2312" w:hAnsi="仿宋_GB2312" w:eastAsia="仿宋_GB2312" w:cs="仿宋_GB2312"/>
          <w:kern w:val="2"/>
          <w:sz w:val="28"/>
          <w:szCs w:val="28"/>
          <w:highlight w:val="none"/>
          <w:lang w:val="en-US" w:eastAsia="zh-CN" w:bidi="ar-SA"/>
        </w:rPr>
        <w:t>仅限可移动式、无地基、可拆卸、无动力或低压电动儿童游乐设施（软体游乐、小型电动游乐、平衡体能、卡通游玩设施等）；严禁特种设备、大型游乐设备、弹跳类高危设施、高温带电游乐、易燃易爆游乐设备进场；所有设备圆角防护、适龄儿童使用，进场必须甲方核验备案。</w:t>
      </w:r>
    </w:p>
    <w:p w14:paraId="12B6EABD">
      <w:pPr>
        <w:keepNext w:val="0"/>
        <w:keepLines w:val="0"/>
        <w:pageBreakBefore w:val="0"/>
        <w:numPr>
          <w:ilvl w:val="0"/>
          <w:numId w:val="0"/>
        </w:numPr>
        <w:kinsoku/>
        <w:wordWrap/>
        <w:overflowPunct/>
        <w:topLinePunct w:val="0"/>
        <w:bidi w:val="0"/>
        <w:snapToGrid/>
        <w:spacing w:line="420" w:lineRule="exact"/>
        <w:ind w:firstLine="562" w:firstLineChars="200"/>
        <w:jc w:val="lef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便民市集业态：</w:t>
      </w:r>
      <w:r>
        <w:rPr>
          <w:rFonts w:hint="eastAsia" w:ascii="仿宋_GB2312" w:hAnsi="仿宋_GB2312" w:eastAsia="仿宋_GB2312" w:cs="仿宋_GB2312"/>
          <w:kern w:val="2"/>
          <w:sz w:val="28"/>
          <w:szCs w:val="28"/>
          <w:highlight w:val="none"/>
          <w:lang w:val="en-US" w:eastAsia="zh-CN" w:bidi="ar-SA"/>
        </w:rPr>
        <w:t>文创小商品、儿童配饰、非遗手工、零食副食、饮品售卖、轻文创摆摊；严禁明火加工、油炸爆</w:t>
      </w:r>
      <w:r>
        <w:rPr>
          <w:rFonts w:hint="eastAsia" w:ascii="仿宋_GB2312" w:hAnsi="仿宋_GB2312" w:eastAsia="仿宋_GB2312" w:cs="仿宋_GB2312"/>
          <w:kern w:val="2"/>
          <w:sz w:val="28"/>
          <w:szCs w:val="28"/>
          <w:highlight w:val="none"/>
          <w:lang w:val="en-US" w:eastAsia="zh-CN" w:bidi="ar-SA"/>
        </w:rPr>
        <w:t>炒、炭火烧烤、餐厨重油烟、现场食品加工；仅限预包装食品、合规散装零食售卖，严禁三无食品、自制散装熟食售卖。</w:t>
      </w:r>
    </w:p>
    <w:p w14:paraId="15E60DFE">
      <w:pPr>
        <w:keepNext w:val="0"/>
        <w:keepLines w:val="0"/>
        <w:pageBreakBefore w:val="0"/>
        <w:numPr>
          <w:ilvl w:val="0"/>
          <w:numId w:val="0"/>
        </w:numPr>
        <w:kinsoku/>
        <w:wordWrap/>
        <w:overflowPunct/>
        <w:topLinePunct w:val="0"/>
        <w:bidi w:val="0"/>
        <w:snapToGrid/>
        <w:spacing w:line="420" w:lineRule="exact"/>
        <w:ind w:firstLine="560" w:firstLineChars="200"/>
        <w:jc w:val="lef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w:t>
      </w:r>
      <w:r>
        <w:rPr>
          <w:rFonts w:hint="eastAsia" w:ascii="仿宋_GB2312" w:hAnsi="仿宋_GB2312" w:eastAsia="仿宋_GB2312" w:cs="仿宋_GB2312"/>
          <w:kern w:val="2"/>
          <w:sz w:val="28"/>
          <w:szCs w:val="28"/>
          <w:highlight w:val="none"/>
          <w:lang w:val="en-US" w:eastAsia="zh-CN" w:bidi="ar-SA"/>
        </w:rPr>
        <w:t>禁止经营及作业行为</w:t>
      </w:r>
    </w:p>
    <w:p w14:paraId="5E89A5BD">
      <w:pPr>
        <w:keepNext w:val="0"/>
        <w:keepLines w:val="0"/>
        <w:pageBreakBefore w:val="0"/>
        <w:numPr>
          <w:ilvl w:val="0"/>
          <w:numId w:val="0"/>
        </w:numPr>
        <w:kinsoku/>
        <w:wordWrap/>
        <w:overflowPunct/>
        <w:topLinePunct w:val="0"/>
        <w:bidi w:val="0"/>
        <w:snapToGrid/>
        <w:spacing w:line="420" w:lineRule="exact"/>
        <w:ind w:firstLine="560" w:firstLineChars="200"/>
        <w:jc w:val="lef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（1）禁止转租、转包、分包场地，禁止吸纳第三方私自摆摊经营；</w:t>
      </w:r>
    </w:p>
    <w:p w14:paraId="5AEE3F0B">
      <w:pPr>
        <w:keepNext w:val="0"/>
        <w:keepLines w:val="0"/>
        <w:pageBreakBefore w:val="0"/>
        <w:numPr>
          <w:ilvl w:val="0"/>
          <w:numId w:val="0"/>
        </w:numPr>
        <w:kinsoku/>
        <w:wordWrap/>
        <w:overflowPunct/>
        <w:topLinePunct w:val="0"/>
        <w:bidi w:val="0"/>
        <w:snapToGrid/>
        <w:spacing w:line="420" w:lineRule="exact"/>
        <w:ind w:firstLine="560" w:firstLineChars="200"/>
        <w:jc w:val="lef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（2）禁止低俗演艺、大功率音响外放、聚众活动、宠物经营性互动；</w:t>
      </w:r>
    </w:p>
    <w:p w14:paraId="4FB35235">
      <w:pPr>
        <w:keepNext w:val="0"/>
        <w:keepLines w:val="0"/>
        <w:pageBreakBefore w:val="0"/>
        <w:numPr>
          <w:ilvl w:val="0"/>
          <w:numId w:val="0"/>
        </w:numPr>
        <w:kinsoku/>
        <w:wordWrap/>
        <w:overflowPunct/>
        <w:topLinePunct w:val="0"/>
        <w:bidi w:val="0"/>
        <w:snapToGrid/>
        <w:spacing w:line="420" w:lineRule="exact"/>
        <w:ind w:firstLine="560" w:firstLineChars="200"/>
        <w:jc w:val="lef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（3）禁止占用广场消防逃生通道、园区主出入口、应急救援通道摆放设施、摊位；</w:t>
      </w:r>
    </w:p>
    <w:p w14:paraId="0F0F423E">
      <w:pPr>
        <w:keepNext w:val="0"/>
        <w:keepLines w:val="0"/>
        <w:pageBreakBefore w:val="0"/>
        <w:numPr>
          <w:ilvl w:val="0"/>
          <w:numId w:val="0"/>
        </w:numPr>
        <w:kinsoku/>
        <w:wordWrap/>
        <w:overflowPunct/>
        <w:topLinePunct w:val="0"/>
        <w:bidi w:val="0"/>
        <w:snapToGrid/>
        <w:spacing w:line="420" w:lineRule="exact"/>
        <w:ind w:firstLine="560" w:firstLineChars="200"/>
        <w:jc w:val="lef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（4）禁止向未成年人售卖烟酒、尖锐玩具、危险文创产品；</w:t>
      </w:r>
    </w:p>
    <w:p w14:paraId="3D42033D">
      <w:pPr>
        <w:keepNext w:val="0"/>
        <w:keepLines w:val="0"/>
        <w:pageBreakBefore w:val="0"/>
        <w:numPr>
          <w:ilvl w:val="0"/>
          <w:numId w:val="0"/>
        </w:numPr>
        <w:kinsoku/>
        <w:wordWrap/>
        <w:overflowPunct/>
        <w:topLinePunct w:val="0"/>
        <w:bidi w:val="0"/>
        <w:snapToGrid/>
        <w:spacing w:line="420" w:lineRule="exact"/>
        <w:ind w:firstLine="560" w:firstLineChars="200"/>
        <w:jc w:val="lef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（5）禁止夜间超时经营、灯光强光扰民、违规用电用气。</w:t>
      </w:r>
    </w:p>
    <w:p w14:paraId="5382816B">
      <w:pPr>
        <w:keepNext w:val="0"/>
        <w:keepLines w:val="0"/>
        <w:pageBreakBefore w:val="0"/>
        <w:numPr>
          <w:ilvl w:val="0"/>
          <w:numId w:val="0"/>
        </w:numPr>
        <w:kinsoku/>
        <w:wordWrap/>
        <w:overflowPunct/>
        <w:topLinePunct w:val="0"/>
        <w:bidi w:val="0"/>
        <w:snapToGrid/>
        <w:spacing w:line="420" w:lineRule="exact"/>
        <w:ind w:firstLine="560" w:firstLineChars="200"/>
        <w:jc w:val="lef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3、该项目经营权</w:t>
      </w:r>
      <w:r>
        <w:rPr>
          <w:rFonts w:hint="eastAsia" w:ascii="仿宋_GB2312" w:hAnsi="仿宋_GB2312" w:eastAsia="仿宋_GB2312" w:cs="仿宋_GB2312"/>
          <w:kern w:val="2"/>
          <w:sz w:val="28"/>
          <w:szCs w:val="28"/>
          <w:highlight w:val="none"/>
          <w:lang w:val="en-US" w:eastAsia="zh-CN" w:bidi="ar-SA"/>
        </w:rPr>
        <w:t>期限为1年。</w:t>
      </w:r>
    </w:p>
    <w:p w14:paraId="408E15CF">
      <w:pPr>
        <w:keepNext w:val="0"/>
        <w:keepLines w:val="0"/>
        <w:pageBreakBefore w:val="0"/>
        <w:numPr>
          <w:ilvl w:val="0"/>
          <w:numId w:val="0"/>
        </w:numPr>
        <w:kinsoku/>
        <w:wordWrap/>
        <w:overflowPunct/>
        <w:topLinePunct w:val="0"/>
        <w:bidi w:val="0"/>
        <w:snapToGrid/>
        <w:spacing w:line="4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承包人应具备的基本条件及要求</w:t>
      </w:r>
    </w:p>
    <w:p w14:paraId="308582E2">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1、承租人为境内外</w:t>
      </w:r>
      <w:r>
        <w:rPr>
          <w:rFonts w:hint="eastAsia" w:ascii="仿宋_GB2312" w:hAnsi="仿宋_GB2312" w:eastAsia="仿宋_GB2312" w:cs="仿宋_GB2312"/>
          <w:sz w:val="28"/>
          <w:szCs w:val="28"/>
          <w:highlight w:val="none"/>
        </w:rPr>
        <w:t>企业法人</w:t>
      </w:r>
      <w:r>
        <w:rPr>
          <w:rFonts w:hint="eastAsia" w:ascii="仿宋_GB2312" w:hAnsi="仿宋_GB2312" w:eastAsia="仿宋_GB2312" w:cs="仿宋_GB2312"/>
          <w:sz w:val="28"/>
          <w:szCs w:val="28"/>
          <w:highlight w:val="none"/>
        </w:rPr>
        <w:t>、具有独立承担民事责任能力的其他组织和具有完全民事行为能力的</w:t>
      </w:r>
      <w:r>
        <w:rPr>
          <w:rFonts w:hint="eastAsia" w:ascii="仿宋_GB2312" w:hAnsi="仿宋_GB2312" w:eastAsia="仿宋_GB2312" w:cs="仿宋_GB2312"/>
          <w:sz w:val="28"/>
          <w:szCs w:val="28"/>
          <w:highlight w:val="none"/>
        </w:rPr>
        <w:t>自然人</w:t>
      </w:r>
      <w:r>
        <w:rPr>
          <w:rFonts w:hint="eastAsia" w:ascii="仿宋_GB2312" w:hAnsi="仿宋_GB2312" w:eastAsia="仿宋_GB2312" w:cs="仿宋_GB2312"/>
          <w:sz w:val="28"/>
          <w:szCs w:val="28"/>
          <w:highlight w:val="none"/>
        </w:rPr>
        <w:t>。</w:t>
      </w:r>
    </w:p>
    <w:p w14:paraId="28FD41B3">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2、经营要求承租人必须合法、文明经营，自负盈亏，承担经营过程中发生的一切税费及相关责任。</w:t>
      </w:r>
    </w:p>
    <w:p w14:paraId="523EA9D5">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承租人对竞得的标的只有经营权，所有权与处置权属于开封西湖文旅投资有限公司。经营权承包期间，乙方全权承担全部安全责任：包含游客摔伤、食物中毒、游乐设施伤人、用电起火、噪音扰民、游客纠纷、第三方索赔等一切事故，全部由乙方赔付处理，与甲方无关；乙方自行采取防火、防盗等安全措施。加强用电安全，禁止私接大功率电器，不得乱拖、乱接电线。</w:t>
      </w:r>
    </w:p>
    <w:p w14:paraId="75B63850">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4、承租人应及时劝阻游客危险行为，做好人流疏导，避免局部区域人员聚集。加强场地巡检，及时排查地面破损、设施松动、绿植倒伏等安全隐患，做到隐患立查立改。</w:t>
      </w:r>
    </w:p>
    <w:p w14:paraId="512E3132">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5、承包人</w:t>
      </w:r>
      <w:r>
        <w:rPr>
          <w:rFonts w:hint="eastAsia" w:ascii="仿宋_GB2312" w:hAnsi="仿宋_GB2312" w:eastAsia="仿宋_GB2312" w:cs="仿宋_GB2312"/>
          <w:sz w:val="28"/>
          <w:szCs w:val="28"/>
          <w:highlight w:val="none"/>
        </w:rPr>
        <w:t>的经营业态及</w:t>
      </w:r>
      <w:r>
        <w:rPr>
          <w:rFonts w:hint="eastAsia" w:ascii="仿宋_GB2312" w:hAnsi="仿宋_GB2312" w:eastAsia="仿宋_GB2312" w:cs="仿宋_GB2312"/>
          <w:sz w:val="28"/>
          <w:szCs w:val="28"/>
          <w:highlight w:val="none"/>
          <w:lang w:val="en-US" w:eastAsia="zh-CN"/>
        </w:rPr>
        <w:t>经营方案</w:t>
      </w:r>
      <w:r>
        <w:rPr>
          <w:rFonts w:hint="eastAsia" w:ascii="仿宋_GB2312" w:hAnsi="仿宋_GB2312" w:eastAsia="仿宋_GB2312" w:cs="仿宋_GB2312"/>
          <w:sz w:val="28"/>
          <w:szCs w:val="28"/>
          <w:highlight w:val="none"/>
        </w:rPr>
        <w:t>，需上报西湖公司审核通过，</w:t>
      </w:r>
      <w:r>
        <w:rPr>
          <w:rFonts w:hint="eastAsia" w:ascii="仿宋_GB2312" w:hAnsi="仿宋_GB2312" w:eastAsia="仿宋_GB2312" w:cs="仿宋_GB2312"/>
          <w:sz w:val="28"/>
          <w:szCs w:val="28"/>
          <w:highlight w:val="none"/>
          <w:lang w:val="en-US" w:eastAsia="zh-CN"/>
        </w:rPr>
        <w:t>方可进行入场。</w:t>
      </w:r>
    </w:p>
    <w:p w14:paraId="20A09297">
      <w:pPr>
        <w:keepNext w:val="0"/>
        <w:keepLines w:val="0"/>
        <w:pageBreakBefore w:val="0"/>
        <w:numPr>
          <w:ilvl w:val="0"/>
          <w:numId w:val="0"/>
        </w:numPr>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bidi="ar-SA"/>
        </w:rPr>
        <w:t>6、</w:t>
      </w:r>
      <w:r>
        <w:rPr>
          <w:rFonts w:hint="eastAsia" w:ascii="仿宋_GB2312" w:hAnsi="仿宋_GB2312" w:eastAsia="仿宋_GB2312" w:cs="仿宋_GB2312"/>
          <w:sz w:val="28"/>
          <w:szCs w:val="28"/>
          <w:highlight w:val="none"/>
          <w:lang w:val="en-US" w:eastAsia="zh-CN"/>
        </w:rPr>
        <w:t>承包人自“拍卖成交确认书”</w:t>
      </w:r>
      <w:r>
        <w:rPr>
          <w:rFonts w:hint="eastAsia" w:ascii="仿宋_GB2312" w:hAnsi="仿宋_GB2312" w:eastAsia="仿宋_GB2312" w:cs="仿宋_GB2312"/>
          <w:sz w:val="28"/>
          <w:szCs w:val="28"/>
          <w:highlight w:val="none"/>
          <w:lang w:val="en-US" w:eastAsia="zh-CN"/>
        </w:rPr>
        <w:t>签订之日起10个工作</w:t>
      </w:r>
      <w:r>
        <w:rPr>
          <w:rFonts w:hint="eastAsia" w:ascii="仿宋_GB2312" w:hAnsi="仿宋_GB2312" w:eastAsia="仿宋_GB2312" w:cs="仿宋_GB2312"/>
          <w:sz w:val="28"/>
          <w:szCs w:val="28"/>
          <w:highlight w:val="none"/>
          <w:lang w:val="en-US" w:eastAsia="zh-CN"/>
        </w:rPr>
        <w:t>日内与发包方签订合同。签订经营权承包合同前，承包人需交</w:t>
      </w:r>
      <w:r>
        <w:rPr>
          <w:rFonts w:hint="eastAsia" w:ascii="仿宋_GB2312" w:hAnsi="仿宋_GB2312" w:eastAsia="仿宋_GB2312" w:cs="仿宋_GB2312"/>
          <w:sz w:val="28"/>
          <w:szCs w:val="28"/>
          <w:highlight w:val="none"/>
          <w:lang w:val="en-US" w:eastAsia="zh-CN"/>
        </w:rPr>
        <w:t>纳履约保证金5万元</w:t>
      </w:r>
      <w:r>
        <w:rPr>
          <w:rFonts w:hint="eastAsia" w:ascii="仿宋_GB2312" w:hAnsi="仿宋_GB2312" w:eastAsia="仿宋_GB2312" w:cs="仿宋_GB2312"/>
          <w:sz w:val="28"/>
          <w:szCs w:val="28"/>
          <w:highlight w:val="none"/>
          <w:lang w:val="en-US" w:eastAsia="zh-CN"/>
        </w:rPr>
        <w:t>。该履约保证金在合同终止或解除后</w:t>
      </w:r>
      <w:r>
        <w:rPr>
          <w:rFonts w:hint="eastAsia" w:ascii="仿宋_GB2312" w:hAnsi="仿宋_GB2312" w:eastAsia="仿宋_GB2312" w:cs="仿宋_GB2312"/>
          <w:sz w:val="28"/>
          <w:szCs w:val="28"/>
          <w:highlight w:val="none"/>
          <w:lang w:val="en-US" w:eastAsia="zh-CN"/>
        </w:rPr>
        <w:t>，自乙方按照甲方的要求交付场地完毕之日起7日内，</w:t>
      </w:r>
      <w:r>
        <w:rPr>
          <w:rFonts w:hint="eastAsia" w:ascii="仿宋_GB2312" w:hAnsi="仿宋_GB2312" w:eastAsia="仿宋_GB2312" w:cs="仿宋_GB2312"/>
          <w:sz w:val="28"/>
          <w:szCs w:val="28"/>
          <w:highlight w:val="none"/>
          <w:lang w:val="en-US" w:eastAsia="zh-CN"/>
        </w:rPr>
        <w:t>由甲方无息退还乙方，但乙方因欠交相关费用及违约被扣除部分除外。</w:t>
      </w:r>
    </w:p>
    <w:p w14:paraId="08968883">
      <w:pPr>
        <w:keepNext w:val="0"/>
        <w:keepLines w:val="0"/>
        <w:pageBreakBefore w:val="0"/>
        <w:numPr>
          <w:ilvl w:val="0"/>
          <w:numId w:val="0"/>
        </w:numPr>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bidi="ar-SA"/>
        </w:rPr>
        <w:t>7</w:t>
      </w:r>
      <w:r>
        <w:rPr>
          <w:rFonts w:hint="eastAsia" w:ascii="仿宋_GB2312" w:hAnsi="仿宋_GB2312" w:eastAsia="仿宋_GB2312" w:cs="仿宋_GB2312"/>
          <w:kern w:val="2"/>
          <w:sz w:val="28"/>
          <w:szCs w:val="28"/>
          <w:highlight w:val="none"/>
          <w:lang w:val="en-US" w:eastAsia="zh-CN" w:bidi="ar-SA"/>
        </w:rPr>
        <w:t>、</w:t>
      </w:r>
      <w:r>
        <w:rPr>
          <w:rFonts w:hint="eastAsia" w:ascii="仿宋_GB2312" w:hAnsi="仿宋_GB2312" w:eastAsia="仿宋_GB2312" w:cs="仿宋_GB2312"/>
          <w:sz w:val="28"/>
          <w:szCs w:val="28"/>
          <w:highlight w:val="none"/>
          <w:lang w:val="en-US" w:eastAsia="zh-CN"/>
        </w:rPr>
        <w:t>承</w:t>
      </w:r>
      <w:r>
        <w:rPr>
          <w:rFonts w:hint="eastAsia" w:ascii="仿宋_GB2312" w:hAnsi="仿宋_GB2312" w:eastAsia="仿宋_GB2312" w:cs="仿宋_GB2312"/>
          <w:sz w:val="28"/>
          <w:szCs w:val="28"/>
          <w:highlight w:val="none"/>
          <w:lang w:val="en-US" w:eastAsia="zh-CN"/>
        </w:rPr>
        <w:t>包</w:t>
      </w:r>
      <w:r>
        <w:rPr>
          <w:rFonts w:hint="eastAsia" w:ascii="仿宋_GB2312" w:hAnsi="仿宋_GB2312" w:eastAsia="仿宋_GB2312" w:cs="仿宋_GB2312"/>
          <w:sz w:val="28"/>
          <w:szCs w:val="28"/>
          <w:highlight w:val="none"/>
          <w:lang w:val="en-US" w:eastAsia="zh-CN"/>
        </w:rPr>
        <w:t>人需在经营期间遵守</w:t>
      </w:r>
      <w:r>
        <w:rPr>
          <w:rFonts w:hint="eastAsia" w:ascii="仿宋_GB2312" w:hAnsi="仿宋_GB2312" w:eastAsia="仿宋_GB2312" w:cs="仿宋_GB2312"/>
          <w:sz w:val="28"/>
          <w:szCs w:val="28"/>
          <w:highlight w:val="none"/>
          <w:lang w:val="en-US" w:eastAsia="zh-CN"/>
        </w:rPr>
        <w:t>库区</w:t>
      </w:r>
      <w:r>
        <w:rPr>
          <w:rFonts w:hint="eastAsia" w:ascii="仿宋_GB2312" w:hAnsi="仿宋_GB2312" w:eastAsia="仿宋_GB2312" w:cs="仿宋_GB2312"/>
          <w:sz w:val="28"/>
          <w:szCs w:val="28"/>
          <w:highlight w:val="none"/>
          <w:lang w:val="en-US" w:eastAsia="zh-CN"/>
        </w:rPr>
        <w:t>的统一管理，不得从事任何违法违规活动。需做好游客的安全引导工作，确保游客的人身安全，并保持经营区域的环境卫生，不得对周边环境造成污染或破坏。承</w:t>
      </w:r>
      <w:r>
        <w:rPr>
          <w:rFonts w:hint="eastAsia" w:ascii="仿宋_GB2312" w:hAnsi="仿宋_GB2312" w:eastAsia="仿宋_GB2312" w:cs="仿宋_GB2312"/>
          <w:sz w:val="28"/>
          <w:szCs w:val="28"/>
          <w:highlight w:val="none"/>
          <w:lang w:val="en-US" w:eastAsia="zh-CN"/>
        </w:rPr>
        <w:t>包</w:t>
      </w:r>
      <w:r>
        <w:rPr>
          <w:rFonts w:hint="eastAsia" w:ascii="仿宋_GB2312" w:hAnsi="仿宋_GB2312" w:eastAsia="仿宋_GB2312" w:cs="仿宋_GB2312"/>
          <w:sz w:val="28"/>
          <w:szCs w:val="28"/>
          <w:highlight w:val="none"/>
          <w:lang w:val="en-US" w:eastAsia="zh-CN"/>
        </w:rPr>
        <w:t>人需在规定的运营区域内经营，不得超出划定范围。</w:t>
      </w:r>
    </w:p>
    <w:p w14:paraId="31A6F7AB">
      <w:pPr>
        <w:keepNext w:val="0"/>
        <w:keepLines w:val="0"/>
        <w:pageBreakBefore w:val="0"/>
        <w:kinsoku/>
        <w:wordWrap/>
        <w:overflowPunct/>
        <w:topLinePunct w:val="0"/>
        <w:bidi w:val="0"/>
        <w:snapToGrid/>
        <w:spacing w:line="420" w:lineRule="exact"/>
        <w:textAlignment w:val="auto"/>
        <w:rPr>
          <w:rFonts w:hint="eastAsia" w:ascii="仿宋_GB2312" w:hAnsi="仿宋_GB2312" w:eastAsia="仿宋_GB2312" w:cs="仿宋_GB2312"/>
          <w:sz w:val="28"/>
          <w:szCs w:val="28"/>
          <w:highlight w:val="none"/>
        </w:rPr>
      </w:pPr>
    </w:p>
    <w:p w14:paraId="2D123C12">
      <w:pPr>
        <w:keepNext w:val="0"/>
        <w:keepLines w:val="0"/>
        <w:pageBreakBefore w:val="0"/>
        <w:kinsoku/>
        <w:wordWrap/>
        <w:overflowPunct/>
        <w:topLinePunct w:val="0"/>
        <w:bidi w:val="0"/>
        <w:snapToGrid/>
        <w:spacing w:line="420" w:lineRule="exact"/>
        <w:textAlignment w:val="auto"/>
        <w:rPr>
          <w:rFonts w:hint="eastAsia" w:ascii="仿宋_GB2312" w:hAnsi="仿宋_GB2312" w:eastAsia="仿宋_GB2312" w:cs="仿宋_GB2312"/>
          <w:sz w:val="28"/>
          <w:szCs w:val="28"/>
          <w:highlight w:val="none"/>
        </w:rPr>
      </w:pPr>
    </w:p>
    <w:p w14:paraId="7159EDD8">
      <w:pPr>
        <w:keepNext w:val="0"/>
        <w:keepLines w:val="0"/>
        <w:pageBreakBefore w:val="0"/>
        <w:kinsoku/>
        <w:wordWrap/>
        <w:overflowPunct/>
        <w:topLinePunct w:val="0"/>
        <w:bidi w:val="0"/>
        <w:snapToGrid/>
        <w:spacing w:line="420" w:lineRule="exact"/>
        <w:textAlignment w:val="auto"/>
        <w:rPr>
          <w:rFonts w:hint="eastAsia" w:ascii="仿宋_GB2312" w:hAnsi="仿宋_GB2312" w:eastAsia="仿宋_GB2312" w:cs="仿宋_GB2312"/>
          <w:sz w:val="28"/>
          <w:szCs w:val="28"/>
          <w:highlight w:val="none"/>
        </w:rPr>
      </w:pPr>
    </w:p>
    <w:p w14:paraId="4338540E">
      <w:pPr>
        <w:keepNext w:val="0"/>
        <w:keepLines w:val="0"/>
        <w:pageBreakBefore w:val="0"/>
        <w:kinsoku/>
        <w:wordWrap/>
        <w:overflowPunct/>
        <w:topLinePunct w:val="0"/>
        <w:bidi w:val="0"/>
        <w:snapToGrid/>
        <w:spacing w:line="420" w:lineRule="exact"/>
        <w:textAlignment w:val="auto"/>
        <w:rPr>
          <w:rFonts w:hint="eastAsia" w:ascii="仿宋_GB2312" w:hAnsi="仿宋_GB2312" w:eastAsia="仿宋_GB2312" w:cs="仿宋_GB2312"/>
          <w:sz w:val="28"/>
          <w:szCs w:val="28"/>
          <w:highlight w:val="none"/>
        </w:rPr>
      </w:pPr>
    </w:p>
    <w:p w14:paraId="320AB6B5">
      <w:pPr>
        <w:keepNext w:val="0"/>
        <w:keepLines w:val="0"/>
        <w:pageBreakBefore w:val="0"/>
        <w:kinsoku/>
        <w:wordWrap/>
        <w:overflowPunct/>
        <w:topLinePunct w:val="0"/>
        <w:bidi w:val="0"/>
        <w:snapToGrid/>
        <w:spacing w:line="420" w:lineRule="exact"/>
        <w:textAlignment w:val="auto"/>
        <w:rPr>
          <w:rFonts w:hint="eastAsia" w:ascii="仿宋_GB2312" w:hAnsi="仿宋_GB2312" w:eastAsia="仿宋_GB2312" w:cs="仿宋_GB2312"/>
          <w:sz w:val="28"/>
          <w:szCs w:val="28"/>
          <w:highlight w:val="none"/>
        </w:rPr>
      </w:pPr>
    </w:p>
    <w:p w14:paraId="51BBD461">
      <w:pPr>
        <w:keepNext w:val="0"/>
        <w:keepLines w:val="0"/>
        <w:pageBreakBefore w:val="0"/>
        <w:kinsoku/>
        <w:wordWrap/>
        <w:overflowPunct/>
        <w:topLinePunct w:val="0"/>
        <w:bidi w:val="0"/>
        <w:snapToGrid/>
        <w:spacing w:line="420" w:lineRule="exact"/>
        <w:textAlignment w:val="auto"/>
        <w:rPr>
          <w:rFonts w:hint="eastAsia" w:ascii="仿宋_GB2312" w:hAnsi="仿宋_GB2312" w:eastAsia="仿宋_GB2312" w:cs="仿宋_GB2312"/>
          <w:sz w:val="28"/>
          <w:szCs w:val="28"/>
          <w:highlight w:val="none"/>
        </w:rPr>
      </w:pPr>
    </w:p>
    <w:p w14:paraId="4A0F5308">
      <w:pPr>
        <w:keepNext w:val="0"/>
        <w:keepLines w:val="0"/>
        <w:pageBreakBefore w:val="0"/>
        <w:kinsoku/>
        <w:wordWrap/>
        <w:overflowPunct/>
        <w:topLinePunct w:val="0"/>
        <w:bidi w:val="0"/>
        <w:snapToGrid/>
        <w:spacing w:line="420" w:lineRule="exact"/>
        <w:textAlignment w:val="auto"/>
        <w:rPr>
          <w:rFonts w:hint="eastAsia" w:ascii="仿宋_GB2312" w:hAnsi="仿宋_GB2312" w:eastAsia="仿宋_GB2312" w:cs="仿宋_GB2312"/>
          <w:sz w:val="28"/>
          <w:szCs w:val="28"/>
          <w:highlight w:val="none"/>
        </w:rPr>
      </w:pPr>
    </w:p>
    <w:p w14:paraId="1E8A2434">
      <w:pPr>
        <w:keepNext w:val="0"/>
        <w:keepLines w:val="0"/>
        <w:pageBreakBefore w:val="0"/>
        <w:kinsoku/>
        <w:wordWrap/>
        <w:overflowPunct/>
        <w:topLinePunct w:val="0"/>
        <w:bidi w:val="0"/>
        <w:snapToGrid/>
        <w:spacing w:line="420" w:lineRule="exact"/>
        <w:textAlignment w:val="auto"/>
        <w:rPr>
          <w:rFonts w:hint="eastAsia" w:ascii="仿宋_GB2312" w:hAnsi="仿宋_GB2312" w:eastAsia="仿宋_GB2312" w:cs="仿宋_GB2312"/>
          <w:sz w:val="28"/>
          <w:szCs w:val="28"/>
          <w:highlight w:val="none"/>
        </w:rPr>
      </w:pPr>
    </w:p>
    <w:p w14:paraId="0F321248">
      <w:pPr>
        <w:keepNext w:val="0"/>
        <w:keepLines w:val="0"/>
        <w:pageBreakBefore w:val="0"/>
        <w:kinsoku/>
        <w:wordWrap/>
        <w:overflowPunct/>
        <w:topLinePunct w:val="0"/>
        <w:bidi w:val="0"/>
        <w:snapToGrid/>
        <w:spacing w:line="420" w:lineRule="exact"/>
        <w:textAlignment w:val="auto"/>
        <w:rPr>
          <w:rFonts w:hint="eastAsia" w:ascii="仿宋_GB2312" w:hAnsi="仿宋_GB2312" w:eastAsia="仿宋_GB2312" w:cs="仿宋_GB2312"/>
          <w:sz w:val="28"/>
          <w:szCs w:val="28"/>
          <w:highlight w:val="none"/>
        </w:rPr>
      </w:pPr>
    </w:p>
    <w:p w14:paraId="287AAFF9">
      <w:pPr>
        <w:keepNext w:val="0"/>
        <w:keepLines w:val="0"/>
        <w:pageBreakBefore w:val="0"/>
        <w:kinsoku/>
        <w:wordWrap/>
        <w:overflowPunct/>
        <w:topLinePunct w:val="0"/>
        <w:bidi w:val="0"/>
        <w:snapToGrid/>
        <w:spacing w:line="420" w:lineRule="exact"/>
        <w:textAlignment w:val="auto"/>
        <w:rPr>
          <w:rFonts w:hint="eastAsia" w:ascii="仿宋_GB2312" w:hAnsi="仿宋_GB2312" w:eastAsia="仿宋_GB2312" w:cs="仿宋_GB2312"/>
          <w:sz w:val="28"/>
          <w:szCs w:val="28"/>
          <w:highlight w:val="none"/>
        </w:rPr>
      </w:pPr>
    </w:p>
    <w:p w14:paraId="456022FC">
      <w:pPr>
        <w:keepNext w:val="0"/>
        <w:keepLines w:val="0"/>
        <w:pageBreakBefore w:val="0"/>
        <w:kinsoku/>
        <w:wordWrap/>
        <w:overflowPunct/>
        <w:topLinePunct w:val="0"/>
        <w:bidi w:val="0"/>
        <w:snapToGrid/>
        <w:spacing w:line="420" w:lineRule="exact"/>
        <w:textAlignment w:val="auto"/>
        <w:rPr>
          <w:rFonts w:hint="eastAsia" w:ascii="仿宋_GB2312" w:hAnsi="仿宋_GB2312" w:eastAsia="仿宋_GB2312" w:cs="仿宋_GB2312"/>
          <w:sz w:val="28"/>
          <w:szCs w:val="28"/>
          <w:highlight w:val="none"/>
        </w:rPr>
      </w:pPr>
    </w:p>
    <w:p w14:paraId="5ACD32C1">
      <w:pPr>
        <w:keepNext w:val="0"/>
        <w:keepLines w:val="0"/>
        <w:pageBreakBefore w:val="0"/>
        <w:kinsoku/>
        <w:wordWrap/>
        <w:overflowPunct/>
        <w:topLinePunct w:val="0"/>
        <w:bidi w:val="0"/>
        <w:snapToGrid/>
        <w:spacing w:line="420" w:lineRule="exact"/>
        <w:textAlignment w:val="auto"/>
        <w:rPr>
          <w:rFonts w:hint="eastAsia" w:ascii="仿宋_GB2312" w:hAnsi="仿宋_GB2312" w:eastAsia="仿宋_GB2312" w:cs="仿宋_GB2312"/>
          <w:sz w:val="28"/>
          <w:szCs w:val="28"/>
          <w:highlight w:val="none"/>
        </w:rPr>
      </w:pPr>
    </w:p>
    <w:p w14:paraId="352D7A2C">
      <w:pPr>
        <w:keepNext w:val="0"/>
        <w:keepLines w:val="0"/>
        <w:pageBreakBefore w:val="0"/>
        <w:kinsoku/>
        <w:wordWrap/>
        <w:overflowPunct/>
        <w:topLinePunct w:val="0"/>
        <w:bidi w:val="0"/>
        <w:snapToGrid/>
        <w:spacing w:line="420" w:lineRule="exact"/>
        <w:textAlignment w:val="auto"/>
        <w:rPr>
          <w:rFonts w:hint="eastAsia" w:ascii="仿宋_GB2312" w:hAnsi="仿宋_GB2312" w:eastAsia="仿宋_GB2312" w:cs="仿宋_GB2312"/>
          <w:sz w:val="28"/>
          <w:szCs w:val="28"/>
          <w:highlight w:val="none"/>
        </w:rPr>
      </w:pPr>
    </w:p>
    <w:p w14:paraId="02557541">
      <w:pPr>
        <w:keepNext w:val="0"/>
        <w:keepLines w:val="0"/>
        <w:pageBreakBefore w:val="0"/>
        <w:kinsoku/>
        <w:wordWrap/>
        <w:overflowPunct/>
        <w:topLinePunct w:val="0"/>
        <w:bidi w:val="0"/>
        <w:snapToGrid/>
        <w:spacing w:line="420" w:lineRule="exact"/>
        <w:textAlignment w:val="auto"/>
        <w:rPr>
          <w:rFonts w:hint="eastAsia" w:ascii="仿宋_GB2312" w:hAnsi="仿宋_GB2312" w:eastAsia="仿宋_GB2312" w:cs="仿宋_GB2312"/>
          <w:sz w:val="28"/>
          <w:szCs w:val="28"/>
          <w:highlight w:val="none"/>
        </w:rPr>
      </w:pPr>
    </w:p>
    <w:p w14:paraId="5CFD1027">
      <w:pPr>
        <w:keepNext w:val="0"/>
        <w:keepLines w:val="0"/>
        <w:pageBreakBefore w:val="0"/>
        <w:kinsoku/>
        <w:wordWrap/>
        <w:overflowPunct/>
        <w:topLinePunct w:val="0"/>
        <w:bidi w:val="0"/>
        <w:snapToGrid/>
        <w:spacing w:line="420" w:lineRule="exact"/>
        <w:textAlignment w:val="auto"/>
        <w:rPr>
          <w:rFonts w:hint="eastAsia" w:ascii="仿宋_GB2312" w:hAnsi="仿宋_GB2312" w:eastAsia="仿宋_GB2312" w:cs="仿宋_GB2312"/>
          <w:sz w:val="28"/>
          <w:szCs w:val="28"/>
          <w:highlight w:val="none"/>
        </w:rPr>
      </w:pPr>
    </w:p>
    <w:p w14:paraId="608BB159">
      <w:pPr>
        <w:keepNext w:val="0"/>
        <w:keepLines w:val="0"/>
        <w:pageBreakBefore w:val="0"/>
        <w:kinsoku/>
        <w:wordWrap/>
        <w:overflowPunct/>
        <w:topLinePunct w:val="0"/>
        <w:bidi w:val="0"/>
        <w:snapToGrid/>
        <w:spacing w:line="420" w:lineRule="exact"/>
        <w:textAlignment w:val="auto"/>
        <w:rPr>
          <w:rFonts w:hint="eastAsia" w:ascii="仿宋_GB2312" w:hAnsi="仿宋_GB2312" w:eastAsia="仿宋_GB2312" w:cs="仿宋_GB2312"/>
          <w:sz w:val="28"/>
          <w:szCs w:val="28"/>
          <w:highlight w:val="none"/>
        </w:rPr>
      </w:pPr>
    </w:p>
    <w:p w14:paraId="102A65F8">
      <w:pPr>
        <w:keepNext w:val="0"/>
        <w:keepLines w:val="0"/>
        <w:pageBreakBefore w:val="0"/>
        <w:kinsoku/>
        <w:wordWrap/>
        <w:overflowPunct/>
        <w:topLinePunct w:val="0"/>
        <w:bidi w:val="0"/>
        <w:snapToGrid/>
        <w:spacing w:line="420" w:lineRule="exact"/>
        <w:textAlignment w:val="auto"/>
        <w:rPr>
          <w:rFonts w:hint="eastAsia" w:ascii="仿宋_GB2312" w:hAnsi="仿宋_GB2312" w:eastAsia="仿宋_GB2312" w:cs="仿宋_GB2312"/>
          <w:sz w:val="28"/>
          <w:szCs w:val="28"/>
          <w:highlight w:val="none"/>
        </w:rPr>
      </w:pPr>
    </w:p>
    <w:p w14:paraId="3784EBF0">
      <w:pPr>
        <w:keepNext w:val="0"/>
        <w:keepLines w:val="0"/>
        <w:pageBreakBefore w:val="0"/>
        <w:kinsoku/>
        <w:wordWrap/>
        <w:overflowPunct/>
        <w:topLinePunct w:val="0"/>
        <w:bidi w:val="0"/>
        <w:snapToGrid/>
        <w:spacing w:line="420" w:lineRule="exact"/>
        <w:jc w:val="center"/>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黑岗口调蓄水库银沙滩广场西南侧场地</w:t>
      </w:r>
    </w:p>
    <w:p w14:paraId="07FD4B8C">
      <w:pPr>
        <w:keepNext w:val="0"/>
        <w:keepLines w:val="0"/>
        <w:pageBreakBefore w:val="0"/>
        <w:kinsoku/>
        <w:wordWrap/>
        <w:overflowPunct/>
        <w:topLinePunct w:val="0"/>
        <w:bidi w:val="0"/>
        <w:snapToGrid/>
        <w:spacing w:line="420" w:lineRule="exact"/>
        <w:jc w:val="center"/>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经营权承包协议（模板）</w:t>
      </w:r>
    </w:p>
    <w:p w14:paraId="37305148">
      <w:pPr>
        <w:keepNext w:val="0"/>
        <w:keepLines w:val="0"/>
        <w:pageBreakBefore w:val="0"/>
        <w:kinsoku/>
        <w:wordWrap/>
        <w:overflowPunct/>
        <w:topLinePunct w:val="0"/>
        <w:bidi w:val="0"/>
        <w:snapToGrid/>
        <w:spacing w:line="420" w:lineRule="exact"/>
        <w:jc w:val="center"/>
        <w:textAlignment w:val="auto"/>
        <w:rPr>
          <w:rFonts w:hint="eastAsia" w:ascii="仿宋_GB2312" w:hAnsi="仿宋_GB2312" w:eastAsia="仿宋_GB2312" w:cs="仿宋_GB2312"/>
          <w:sz w:val="28"/>
          <w:szCs w:val="28"/>
          <w:highlight w:val="none"/>
          <w:lang w:val="en-US" w:eastAsia="zh-CN"/>
        </w:rPr>
      </w:pPr>
    </w:p>
    <w:p w14:paraId="1B47E638">
      <w:pPr>
        <w:keepNext w:val="0"/>
        <w:keepLines w:val="0"/>
        <w:pageBreakBefore w:val="0"/>
        <w:kinsoku/>
        <w:wordWrap/>
        <w:overflowPunct/>
        <w:topLinePunct w:val="0"/>
        <w:bidi w:val="0"/>
        <w:snapToGrid/>
        <w:spacing w:line="420" w:lineRule="exact"/>
        <w:ind w:firstLine="562" w:firstLineChars="200"/>
        <w:textAlignment w:val="auto"/>
        <w:rPr>
          <w:rFonts w:hint="eastAsia" w:ascii="仿宋_GB2312" w:hAnsi="仿宋_GB2312" w:eastAsia="仿宋_GB2312" w:cs="仿宋_GB2312"/>
          <w:b w:val="0"/>
          <w:bCs w:val="0"/>
          <w:sz w:val="28"/>
          <w:szCs w:val="28"/>
          <w:highlight w:val="none"/>
          <w:u w:val="single"/>
        </w:rPr>
      </w:pPr>
      <w:r>
        <w:rPr>
          <w:rFonts w:hint="eastAsia" w:ascii="仿宋_GB2312" w:hAnsi="仿宋_GB2312" w:eastAsia="仿宋_GB2312" w:cs="仿宋_GB2312"/>
          <w:b/>
          <w:bCs/>
          <w:sz w:val="28"/>
          <w:szCs w:val="28"/>
          <w:highlight w:val="none"/>
        </w:rPr>
        <w:t>甲方</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出租方</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val="0"/>
          <w:bCs w:val="0"/>
          <w:sz w:val="28"/>
          <w:szCs w:val="28"/>
          <w:highlight w:val="none"/>
          <w:u w:val="single"/>
          <w:lang w:val="en-US" w:eastAsia="zh-CN"/>
        </w:rPr>
        <w:t>开封西湖文旅投资有限公司</w:t>
      </w:r>
    </w:p>
    <w:p w14:paraId="29E6F80A">
      <w:pPr>
        <w:keepNext w:val="0"/>
        <w:keepLines w:val="0"/>
        <w:pageBreakBefore w:val="0"/>
        <w:kinsoku/>
        <w:wordWrap/>
        <w:overflowPunct/>
        <w:topLinePunct w:val="0"/>
        <w:bidi w:val="0"/>
        <w:snapToGrid/>
        <w:spacing w:line="420" w:lineRule="exact"/>
        <w:ind w:firstLine="562" w:firstLineChars="200"/>
        <w:textAlignment w:val="auto"/>
        <w:rPr>
          <w:rFonts w:hint="eastAsia" w:ascii="仿宋_GB2312" w:hAnsi="仿宋_GB2312" w:eastAsia="仿宋_GB2312" w:cs="仿宋_GB2312"/>
          <w:b w:val="0"/>
          <w:bCs w:val="0"/>
          <w:color w:val="auto"/>
          <w:sz w:val="28"/>
          <w:szCs w:val="28"/>
          <w:highlight w:val="none"/>
          <w:u w:val="single"/>
        </w:rPr>
      </w:pPr>
      <w:r>
        <w:rPr>
          <w:rFonts w:hint="eastAsia" w:ascii="仿宋_GB2312" w:hAnsi="仿宋_GB2312" w:eastAsia="仿宋_GB2312" w:cs="仿宋_GB2312"/>
          <w:b/>
          <w:bCs/>
          <w:sz w:val="28"/>
          <w:szCs w:val="28"/>
          <w:highlight w:val="none"/>
        </w:rPr>
        <w:t>住址：</w:t>
      </w:r>
      <w:r>
        <w:rPr>
          <w:rFonts w:hint="eastAsia" w:ascii="仿宋_GB2312" w:hAnsi="仿宋_GB2312" w:eastAsia="仿宋_GB2312" w:cs="仿宋_GB2312"/>
          <w:b w:val="0"/>
          <w:bCs w:val="0"/>
          <w:color w:val="auto"/>
          <w:sz w:val="28"/>
          <w:szCs w:val="28"/>
          <w:highlight w:val="none"/>
          <w:u w:val="single"/>
        </w:rPr>
        <w:t>河南自贸试验区开封片区汉兴西路与八大街交叉口</w:t>
      </w:r>
    </w:p>
    <w:p w14:paraId="4718A6F6">
      <w:pPr>
        <w:keepNext w:val="0"/>
        <w:keepLines w:val="0"/>
        <w:pageBreakBefore w:val="0"/>
        <w:kinsoku/>
        <w:wordWrap/>
        <w:overflowPunct/>
        <w:topLinePunct w:val="0"/>
        <w:bidi w:val="0"/>
        <w:snapToGrid/>
        <w:spacing w:line="420" w:lineRule="exact"/>
        <w:ind w:firstLine="562" w:firstLineChars="200"/>
        <w:textAlignment w:val="auto"/>
        <w:rPr>
          <w:rFonts w:hint="eastAsia" w:ascii="仿宋_GB2312" w:hAnsi="仿宋_GB2312" w:eastAsia="仿宋_GB2312" w:cs="仿宋_GB2312"/>
          <w:b w:val="0"/>
          <w:bCs w:val="0"/>
          <w:color w:val="auto"/>
          <w:sz w:val="28"/>
          <w:szCs w:val="28"/>
          <w:highlight w:val="none"/>
          <w:u w:val="single"/>
        </w:rPr>
      </w:pPr>
      <w:r>
        <w:rPr>
          <w:rFonts w:hint="eastAsia" w:ascii="仿宋_GB2312" w:hAnsi="仿宋_GB2312" w:eastAsia="仿宋_GB2312" w:cs="仿宋_GB2312"/>
          <w:b/>
          <w:bCs/>
          <w:sz w:val="28"/>
          <w:szCs w:val="28"/>
          <w:highlight w:val="none"/>
        </w:rPr>
        <w:t>统一社会信用代码：</w:t>
      </w:r>
      <w:r>
        <w:rPr>
          <w:rFonts w:hint="eastAsia" w:ascii="仿宋_GB2312" w:hAnsi="仿宋_GB2312" w:eastAsia="仿宋_GB2312" w:cs="仿宋_GB2312"/>
          <w:b w:val="0"/>
          <w:bCs w:val="0"/>
          <w:color w:val="auto"/>
          <w:sz w:val="28"/>
          <w:szCs w:val="28"/>
          <w:highlight w:val="none"/>
          <w:u w:val="single"/>
        </w:rPr>
        <w:t>914102003175043976</w:t>
      </w:r>
    </w:p>
    <w:p w14:paraId="7C904B03">
      <w:pPr>
        <w:keepNext w:val="0"/>
        <w:keepLines w:val="0"/>
        <w:pageBreakBefore w:val="0"/>
        <w:kinsoku/>
        <w:wordWrap/>
        <w:overflowPunct/>
        <w:topLinePunct w:val="0"/>
        <w:bidi w:val="0"/>
        <w:snapToGrid/>
        <w:spacing w:line="420" w:lineRule="exact"/>
        <w:ind w:firstLine="562" w:firstLineChars="200"/>
        <w:textAlignment w:val="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b/>
          <w:bCs/>
          <w:sz w:val="28"/>
          <w:szCs w:val="28"/>
          <w:highlight w:val="none"/>
        </w:rPr>
        <w:t>乙方</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承租方</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rPr>
        <w:t>：</w:t>
      </w:r>
    </w:p>
    <w:p w14:paraId="55C3E89B">
      <w:pPr>
        <w:keepNext w:val="0"/>
        <w:keepLines w:val="0"/>
        <w:pageBreakBefore w:val="0"/>
        <w:kinsoku/>
        <w:wordWrap/>
        <w:overflowPunct/>
        <w:topLinePunct w:val="0"/>
        <w:bidi w:val="0"/>
        <w:snapToGrid/>
        <w:spacing w:line="42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住址：</w:t>
      </w:r>
    </w:p>
    <w:p w14:paraId="599DDD0B">
      <w:pPr>
        <w:keepNext w:val="0"/>
        <w:keepLines w:val="0"/>
        <w:pageBreakBefore w:val="0"/>
        <w:kinsoku/>
        <w:wordWrap/>
        <w:overflowPunct/>
        <w:topLinePunct w:val="0"/>
        <w:bidi w:val="0"/>
        <w:snapToGrid/>
        <w:spacing w:line="420" w:lineRule="exact"/>
        <w:ind w:firstLine="562" w:firstLineChars="200"/>
        <w:textAlignment w:val="auto"/>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b/>
          <w:bCs/>
          <w:sz w:val="28"/>
          <w:szCs w:val="28"/>
          <w:highlight w:val="none"/>
          <w:lang w:val="en-US" w:eastAsia="zh-CN"/>
        </w:rPr>
        <w:t>身份证号</w:t>
      </w:r>
      <w:r>
        <w:rPr>
          <w:rFonts w:hint="eastAsia" w:ascii="仿宋_GB2312" w:hAnsi="仿宋_GB2312" w:eastAsia="仿宋_GB2312" w:cs="仿宋_GB2312"/>
          <w:b/>
          <w:bCs/>
          <w:sz w:val="28"/>
          <w:szCs w:val="28"/>
          <w:highlight w:val="none"/>
        </w:rPr>
        <w:t>：</w:t>
      </w:r>
    </w:p>
    <w:p w14:paraId="67E9749F">
      <w:pPr>
        <w:keepNext w:val="0"/>
        <w:keepLines w:val="0"/>
        <w:pageBreakBefore w:val="0"/>
        <w:kinsoku/>
        <w:wordWrap/>
        <w:overflowPunct/>
        <w:topLinePunct w:val="0"/>
        <w:bidi w:val="0"/>
        <w:snapToGrid/>
        <w:spacing w:line="420" w:lineRule="exact"/>
        <w:ind w:firstLine="562" w:firstLineChars="200"/>
        <w:textAlignment w:val="auto"/>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b/>
          <w:bCs/>
          <w:sz w:val="28"/>
          <w:szCs w:val="28"/>
          <w:highlight w:val="none"/>
          <w:lang w:val="en-US" w:eastAsia="zh-CN"/>
        </w:rPr>
        <w:t>手机号：</w:t>
      </w:r>
    </w:p>
    <w:p w14:paraId="6FA9C6F8">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根据《中华人民共和国民法典》等相关法律、法规的规定，甲、乙双方在“平等互利、协商一致”的基</w:t>
      </w:r>
      <w:r>
        <w:rPr>
          <w:rFonts w:hint="eastAsia" w:ascii="仿宋_GB2312" w:hAnsi="仿宋_GB2312" w:eastAsia="仿宋_GB2312" w:cs="仿宋_GB2312"/>
          <w:sz w:val="28"/>
          <w:szCs w:val="28"/>
          <w:highlight w:val="none"/>
          <w:lang w:val="en-US" w:eastAsia="zh-CN"/>
        </w:rPr>
        <w:t>础上，就乙方承包黑岗口调蓄水库西岸银沙滩西南侧场地</w:t>
      </w:r>
      <w:r>
        <w:rPr>
          <w:rFonts w:hint="eastAsia" w:ascii="仿宋_GB2312" w:hAnsi="仿宋_GB2312" w:eastAsia="仿宋_GB2312" w:cs="仿宋_GB2312"/>
          <w:sz w:val="28"/>
          <w:szCs w:val="28"/>
          <w:highlight w:val="none"/>
          <w:lang w:val="en-US" w:eastAsia="zh-CN"/>
        </w:rPr>
        <w:t>经营权</w:t>
      </w:r>
      <w:r>
        <w:rPr>
          <w:rFonts w:hint="eastAsia" w:ascii="仿宋_GB2312" w:hAnsi="仿宋_GB2312" w:eastAsia="仿宋_GB2312" w:cs="仿宋_GB2312"/>
          <w:sz w:val="28"/>
          <w:szCs w:val="28"/>
          <w:highlight w:val="none"/>
          <w:lang w:val="en-US" w:eastAsia="zh-CN"/>
        </w:rPr>
        <w:t>一事，为明确双方的权利、义务</w:t>
      </w:r>
      <w:r>
        <w:rPr>
          <w:rFonts w:hint="eastAsia" w:ascii="仿宋_GB2312" w:hAnsi="仿宋_GB2312" w:eastAsia="仿宋_GB2312" w:cs="仿宋_GB2312"/>
          <w:sz w:val="28"/>
          <w:szCs w:val="28"/>
          <w:highlight w:val="none"/>
        </w:rPr>
        <w:t>及相关事宜，特订立如下协议：</w:t>
      </w:r>
    </w:p>
    <w:p w14:paraId="5F4303C4">
      <w:pPr>
        <w:keepNext w:val="0"/>
        <w:keepLines w:val="0"/>
        <w:pageBreakBefore w:val="0"/>
        <w:kinsoku/>
        <w:wordWrap/>
        <w:overflowPunct/>
        <w:topLinePunct w:val="0"/>
        <w:bidi w:val="0"/>
        <w:snapToGrid/>
        <w:spacing w:line="420" w:lineRule="exact"/>
        <w:textAlignment w:val="auto"/>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bCs/>
          <w:sz w:val="28"/>
          <w:szCs w:val="28"/>
          <w:highlight w:val="none"/>
        </w:rPr>
        <w:t>第一条</w:t>
      </w:r>
      <w:r>
        <w:rPr>
          <w:rFonts w:hint="eastAsia" w:ascii="仿宋_GB2312" w:hAnsi="仿宋_GB2312" w:eastAsia="仿宋_GB2312" w:cs="仿宋_GB2312"/>
          <w:b/>
          <w:sz w:val="28"/>
          <w:szCs w:val="28"/>
          <w:highlight w:val="none"/>
        </w:rPr>
        <w:t>：</w:t>
      </w:r>
      <w:bookmarkStart w:id="0" w:name="heading_2"/>
      <w:r>
        <w:rPr>
          <w:rFonts w:hint="eastAsia" w:ascii="仿宋_GB2312" w:hAnsi="仿宋_GB2312" w:eastAsia="仿宋_GB2312" w:cs="仿宋_GB2312"/>
          <w:b/>
          <w:bCs/>
          <w:sz w:val="28"/>
          <w:szCs w:val="28"/>
          <w:highlight w:val="none"/>
        </w:rPr>
        <w:t xml:space="preserve"> 经营场地及经营业态</w:t>
      </w:r>
      <w:bookmarkEnd w:id="0"/>
      <w:r>
        <w:rPr>
          <w:rFonts w:hint="eastAsia" w:ascii="仿宋_GB2312" w:hAnsi="仿宋_GB2312" w:eastAsia="仿宋_GB2312" w:cs="仿宋_GB2312"/>
          <w:b/>
          <w:sz w:val="28"/>
          <w:szCs w:val="28"/>
          <w:highlight w:val="none"/>
          <w:lang w:val="en-US" w:eastAsia="zh-CN"/>
        </w:rPr>
        <w:tab/>
      </w:r>
    </w:p>
    <w:p w14:paraId="400E89B1">
      <w:pPr>
        <w:keepNext w:val="0"/>
        <w:keepLines w:val="0"/>
        <w:pageBreakBefore w:val="0"/>
        <w:numPr>
          <w:ilvl w:val="0"/>
          <w:numId w:val="1"/>
        </w:numPr>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乙方承</w:t>
      </w:r>
      <w:r>
        <w:rPr>
          <w:rFonts w:hint="eastAsia" w:ascii="仿宋_GB2312" w:hAnsi="仿宋_GB2312" w:eastAsia="仿宋_GB2312" w:cs="仿宋_GB2312"/>
          <w:sz w:val="28"/>
          <w:szCs w:val="28"/>
          <w:highlight w:val="none"/>
          <w:lang w:val="en-US" w:eastAsia="zh-CN"/>
        </w:rPr>
        <w:t>包甲方位于黑岗口调蓄水库西岸银沙滩西南侧</w:t>
      </w:r>
      <w:r>
        <w:rPr>
          <w:rFonts w:hint="eastAsia" w:ascii="仿宋_GB2312" w:hAnsi="仿宋_GB2312" w:eastAsia="仿宋_GB2312" w:cs="仿宋_GB2312"/>
          <w:sz w:val="28"/>
          <w:szCs w:val="28"/>
          <w:highlight w:val="none"/>
          <w:lang w:val="en-US" w:eastAsia="zh-CN"/>
        </w:rPr>
        <w:t>场地</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eastAsia="zh-CN"/>
        </w:rPr>
        <w:t>面积约面积3500㎡。须同时包括如下两类经营活动：①</w:t>
      </w:r>
      <w:r>
        <w:rPr>
          <w:rFonts w:hint="eastAsia" w:ascii="仿宋_GB2312" w:hAnsi="仿宋_GB2312" w:eastAsia="仿宋_GB2312" w:cs="仿宋_GB2312"/>
          <w:b/>
          <w:bCs/>
          <w:sz w:val="28"/>
          <w:szCs w:val="28"/>
          <w:highlight w:val="none"/>
          <w:lang w:val="en-US" w:eastAsia="zh-CN"/>
        </w:rPr>
        <w:t>合规儿童游乐业态：</w:t>
      </w:r>
      <w:r>
        <w:rPr>
          <w:rFonts w:hint="eastAsia" w:ascii="仿宋_GB2312" w:hAnsi="仿宋_GB2312" w:eastAsia="仿宋_GB2312" w:cs="仿宋_GB2312"/>
          <w:sz w:val="28"/>
          <w:szCs w:val="28"/>
          <w:highlight w:val="none"/>
          <w:lang w:val="en-US" w:eastAsia="zh-CN"/>
        </w:rPr>
        <w:t>仅限可移动式、无地基、可拆卸、无动力或低压电动儿童游乐设施（软体游乐、小型电动游乐、平衡体能、卡通游玩设施等）；严禁特种设备、大型游乐设备、弹跳类高危设施、高温带电游乐、易燃易爆游乐设备进场；所有设备圆角防护、适龄儿童使用，进场必须甲方核验备案。</w:t>
      </w:r>
      <w:r>
        <w:rPr>
          <w:rFonts w:hint="eastAsia" w:ascii="仿宋_GB2312" w:hAnsi="仿宋_GB2312" w:eastAsia="仿宋_GB2312" w:cs="仿宋_GB2312"/>
          <w:sz w:val="28"/>
          <w:szCs w:val="28"/>
          <w:highlight w:val="none"/>
          <w:lang w:val="en-US" w:eastAsia="zh-CN"/>
        </w:rPr>
        <w:t>②</w:t>
      </w:r>
      <w:r>
        <w:rPr>
          <w:rFonts w:hint="eastAsia" w:ascii="仿宋_GB2312" w:hAnsi="仿宋_GB2312" w:eastAsia="仿宋_GB2312" w:cs="仿宋_GB2312"/>
          <w:b/>
          <w:bCs/>
          <w:sz w:val="28"/>
          <w:szCs w:val="28"/>
          <w:highlight w:val="none"/>
          <w:lang w:val="en-US" w:eastAsia="zh-CN"/>
        </w:rPr>
        <w:t>便民市集业态：</w:t>
      </w:r>
      <w:r>
        <w:rPr>
          <w:rFonts w:hint="eastAsia" w:ascii="仿宋_GB2312" w:hAnsi="仿宋_GB2312" w:eastAsia="仿宋_GB2312" w:cs="仿宋_GB2312"/>
          <w:sz w:val="28"/>
          <w:szCs w:val="28"/>
          <w:highlight w:val="none"/>
          <w:lang w:val="en-US" w:eastAsia="zh-CN"/>
        </w:rPr>
        <w:t>文创小商品、儿童配饰、非遗手工、零食副食、饮品售卖、轻文创摆摊；严禁明火加工、油炸爆炒、炭火烧烤、餐厨重油烟、现场食品加工；仅限预包装食品、合规散装零食售卖，严禁三无食品、自制散装熟食售卖</w:t>
      </w:r>
      <w:r>
        <w:rPr>
          <w:rFonts w:hint="eastAsia" w:ascii="仿宋_GB2312" w:hAnsi="仿宋_GB2312" w:eastAsia="仿宋_GB2312" w:cs="仿宋_GB2312"/>
          <w:sz w:val="28"/>
          <w:szCs w:val="28"/>
          <w:highlight w:val="none"/>
          <w:lang w:val="en-US" w:eastAsia="zh-CN"/>
        </w:rPr>
        <w:t>。</w:t>
      </w:r>
    </w:p>
    <w:p w14:paraId="181A739F">
      <w:pPr>
        <w:keepNext w:val="0"/>
        <w:keepLines w:val="0"/>
        <w:pageBreakBefore w:val="0"/>
        <w:numPr>
          <w:ilvl w:val="0"/>
          <w:numId w:val="1"/>
        </w:numPr>
        <w:kinsoku/>
        <w:wordWrap/>
        <w:overflowPunct/>
        <w:topLinePunct w:val="0"/>
        <w:bidi w:val="0"/>
        <w:snapToGrid/>
        <w:spacing w:line="420" w:lineRule="exact"/>
        <w:ind w:left="0" w:leftChars="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禁止经营及作业行为</w:t>
      </w:r>
    </w:p>
    <w:p w14:paraId="405FAD0B">
      <w:pPr>
        <w:keepNext w:val="0"/>
        <w:keepLines w:val="0"/>
        <w:pageBreakBefore w:val="0"/>
        <w:numPr>
          <w:ilvl w:val="0"/>
          <w:numId w:val="0"/>
        </w:numPr>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en-US" w:eastAsia="zh-CN"/>
        </w:rPr>
        <w:t>禁止转租、转包、分包场地，禁止吸纳第三方私自摆摊经营；</w:t>
      </w:r>
    </w:p>
    <w:p w14:paraId="6E0C9CE9">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en-US" w:eastAsia="zh-CN"/>
        </w:rPr>
        <w:t>禁止低俗演艺、大功率音响外放、聚众活动、宠物经营性互动；</w:t>
      </w:r>
    </w:p>
    <w:p w14:paraId="0DE14A41">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en-US" w:eastAsia="zh-CN"/>
        </w:rPr>
        <w:t>禁止占用广场消防逃生通道、园区主出入口、应急救援通道摆放设施、摊位；</w:t>
      </w:r>
    </w:p>
    <w:p w14:paraId="27A6FDD8">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val="en-US" w:eastAsia="zh-CN"/>
        </w:rPr>
        <w:t>禁止向未成年人售卖烟酒、尖锐玩具、危险文创产品；</w:t>
      </w:r>
    </w:p>
    <w:p w14:paraId="5AB7EE26">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val="en-US" w:eastAsia="zh-CN"/>
        </w:rPr>
        <w:t>禁止夜间超时经营、灯光强光扰民、违规用电用气。</w:t>
      </w:r>
    </w:p>
    <w:p w14:paraId="3AC4A172">
      <w:pPr>
        <w:keepNext w:val="0"/>
        <w:keepLines w:val="0"/>
        <w:pageBreakBefore w:val="0"/>
        <w:numPr>
          <w:ilvl w:val="0"/>
          <w:numId w:val="0"/>
        </w:numPr>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该项目</w:t>
      </w:r>
      <w:r>
        <w:rPr>
          <w:rFonts w:hint="eastAsia" w:ascii="仿宋_GB2312" w:hAnsi="仿宋_GB2312" w:eastAsia="仿宋_GB2312" w:cs="仿宋_GB2312"/>
          <w:sz w:val="28"/>
          <w:szCs w:val="28"/>
          <w:highlight w:val="none"/>
        </w:rPr>
        <w:t>经营权期限为</w:t>
      </w:r>
      <w:r>
        <w:rPr>
          <w:rFonts w:hint="eastAsia" w:ascii="仿宋_GB2312" w:hAnsi="仿宋_GB2312" w:eastAsia="仿宋_GB2312" w:cs="仿宋_GB2312"/>
          <w:sz w:val="28"/>
          <w:szCs w:val="28"/>
          <w:highlight w:val="none"/>
          <w:u w:val="single"/>
          <w:lang w:val="en-US" w:eastAsia="zh-CN"/>
        </w:rPr>
        <w:t>1</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eastAsia="zh-CN"/>
        </w:rPr>
        <w:t>。</w:t>
      </w:r>
    </w:p>
    <w:p w14:paraId="1AB4A76B">
      <w:pPr>
        <w:keepNext w:val="0"/>
        <w:keepLines w:val="0"/>
        <w:pageBreakBefore w:val="0"/>
        <w:numPr>
          <w:ilvl w:val="0"/>
          <w:numId w:val="0"/>
        </w:numPr>
        <w:kinsoku/>
        <w:wordWrap/>
        <w:overflowPunct/>
        <w:topLinePunct w:val="0"/>
        <w:bidi w:val="0"/>
        <w:snapToGrid/>
        <w:spacing w:line="420" w:lineRule="exact"/>
        <w:textAlignment w:val="auto"/>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rPr>
        <w:t>第二条：</w:t>
      </w:r>
      <w:r>
        <w:rPr>
          <w:rFonts w:hint="eastAsia" w:ascii="仿宋_GB2312" w:hAnsi="仿宋_GB2312" w:eastAsia="仿宋_GB2312" w:cs="仿宋_GB2312"/>
          <w:b/>
          <w:sz w:val="28"/>
          <w:szCs w:val="28"/>
          <w:highlight w:val="none"/>
          <w:lang w:val="en-US" w:eastAsia="zh-CN"/>
        </w:rPr>
        <w:t>承包期限及免承包款期</w:t>
      </w:r>
    </w:p>
    <w:p w14:paraId="4F1B14B8">
      <w:pPr>
        <w:keepNext w:val="0"/>
        <w:keepLines w:val="0"/>
        <w:pageBreakBefore w:val="0"/>
        <w:numPr>
          <w:ilvl w:val="0"/>
          <w:numId w:val="0"/>
        </w:numPr>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经营权免承包款期</w:t>
      </w:r>
      <w:r>
        <w:rPr>
          <w:rFonts w:hint="eastAsia" w:ascii="仿宋_GB2312" w:hAnsi="仿宋_GB2312" w:eastAsia="仿宋_GB2312" w:cs="仿宋_GB2312"/>
          <w:sz w:val="28"/>
          <w:szCs w:val="28"/>
          <w:highlight w:val="none"/>
        </w:rPr>
        <w:t>为</w:t>
      </w:r>
      <w:r>
        <w:rPr>
          <w:rFonts w:hint="eastAsia" w:ascii="仿宋_GB2312" w:hAnsi="仿宋_GB2312" w:eastAsia="仿宋_GB2312" w:cs="仿宋_GB2312"/>
          <w:sz w:val="28"/>
          <w:szCs w:val="28"/>
          <w:highlight w:val="none"/>
          <w:u w:val="single"/>
          <w:lang w:val="en-US" w:eastAsia="zh-CN"/>
        </w:rPr>
        <w:t>30</w:t>
      </w:r>
      <w:r>
        <w:rPr>
          <w:rFonts w:hint="eastAsia" w:ascii="仿宋_GB2312" w:hAnsi="仿宋_GB2312" w:eastAsia="仿宋_GB2312" w:cs="仿宋_GB2312"/>
          <w:sz w:val="28"/>
          <w:szCs w:val="28"/>
          <w:highlight w:val="none"/>
        </w:rPr>
        <w:t>天，自</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日至</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highlight w:val="none"/>
          <w:lang w:val="en-US" w:eastAsia="zh-CN"/>
        </w:rPr>
        <w:t>。</w:t>
      </w:r>
    </w:p>
    <w:p w14:paraId="2D267E5F">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经营权承包</w:t>
      </w:r>
      <w:r>
        <w:rPr>
          <w:rFonts w:hint="eastAsia" w:ascii="仿宋_GB2312" w:hAnsi="仿宋_GB2312" w:eastAsia="仿宋_GB2312" w:cs="仿宋_GB2312"/>
          <w:sz w:val="28"/>
          <w:szCs w:val="28"/>
          <w:highlight w:val="none"/>
        </w:rPr>
        <w:t>期限为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1</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年，自</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日至</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日。</w:t>
      </w:r>
    </w:p>
    <w:p w14:paraId="55B3B84F">
      <w:pPr>
        <w:keepNext w:val="0"/>
        <w:keepLines w:val="0"/>
        <w:pageBreakBefore w:val="0"/>
        <w:kinsoku/>
        <w:wordWrap/>
        <w:overflowPunct/>
        <w:topLinePunct w:val="0"/>
        <w:bidi w:val="0"/>
        <w:snapToGrid/>
        <w:spacing w:line="420" w:lineRule="exac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第三条： 款项收取</w:t>
      </w:r>
      <w:r>
        <w:rPr>
          <w:rFonts w:hint="eastAsia" w:ascii="仿宋_GB2312" w:hAnsi="仿宋_GB2312" w:eastAsia="仿宋_GB2312" w:cs="仿宋_GB2312"/>
          <w:b/>
          <w:sz w:val="28"/>
          <w:szCs w:val="28"/>
          <w:highlight w:val="none"/>
          <w:lang w:eastAsia="zh-CN"/>
        </w:rPr>
        <w:t>、</w:t>
      </w:r>
      <w:r>
        <w:rPr>
          <w:rFonts w:hint="eastAsia" w:ascii="仿宋_GB2312" w:hAnsi="仿宋_GB2312" w:eastAsia="仿宋_GB2312" w:cs="仿宋_GB2312"/>
          <w:b/>
          <w:sz w:val="28"/>
          <w:szCs w:val="28"/>
          <w:highlight w:val="none"/>
        </w:rPr>
        <w:t>履约保证金</w:t>
      </w:r>
    </w:p>
    <w:p w14:paraId="2CDD0DDF">
      <w:pPr>
        <w:pStyle w:val="4"/>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1、经营权承包款为竞拍成交年承包款，即（人民币）大写</w:t>
      </w:r>
      <w:r>
        <w:rPr>
          <w:rFonts w:hint="eastAsia" w:ascii="仿宋_GB2312" w:hAnsi="仿宋_GB2312" w:eastAsia="仿宋_GB2312" w:cs="仿宋_GB2312"/>
          <w:kern w:val="2"/>
          <w:sz w:val="28"/>
          <w:szCs w:val="28"/>
          <w:highlight w:val="none"/>
          <w:u w:val="single"/>
          <w:lang w:val="en-US" w:eastAsia="zh-CN" w:bidi="ar-SA"/>
        </w:rPr>
        <w:t xml:space="preserve">           </w:t>
      </w:r>
      <w:r>
        <w:rPr>
          <w:rFonts w:hint="eastAsia" w:ascii="仿宋_GB2312" w:hAnsi="仿宋_GB2312" w:eastAsia="仿宋_GB2312" w:cs="仿宋_GB2312"/>
          <w:kern w:val="2"/>
          <w:sz w:val="28"/>
          <w:szCs w:val="28"/>
          <w:highlight w:val="none"/>
          <w:lang w:val="en-US" w:eastAsia="zh-CN" w:bidi="ar-SA"/>
        </w:rPr>
        <w:t xml:space="preserve">  元每年，小写：¥</w:t>
      </w:r>
      <w:r>
        <w:rPr>
          <w:rFonts w:hint="eastAsia" w:ascii="仿宋_GB2312" w:hAnsi="仿宋_GB2312" w:eastAsia="仿宋_GB2312" w:cs="仿宋_GB2312"/>
          <w:kern w:val="2"/>
          <w:sz w:val="28"/>
          <w:szCs w:val="28"/>
          <w:highlight w:val="none"/>
          <w:u w:val="single"/>
          <w:lang w:val="en-US" w:eastAsia="zh-CN" w:bidi="ar-SA"/>
        </w:rPr>
        <w:t xml:space="preserve">     </w:t>
      </w:r>
      <w:r>
        <w:rPr>
          <w:rFonts w:hint="eastAsia" w:ascii="仿宋_GB2312" w:hAnsi="仿宋_GB2312" w:eastAsia="仿宋_GB2312" w:cs="仿宋_GB2312"/>
          <w:kern w:val="2"/>
          <w:sz w:val="28"/>
          <w:szCs w:val="28"/>
          <w:highlight w:val="none"/>
          <w:lang w:val="en-US" w:eastAsia="zh-CN" w:bidi="ar-SA"/>
        </w:rPr>
        <w:t>元，其中不含税金额（人民币）大写：</w:t>
      </w:r>
      <w:r>
        <w:rPr>
          <w:rFonts w:hint="eastAsia" w:ascii="仿宋_GB2312" w:hAnsi="仿宋_GB2312" w:eastAsia="仿宋_GB2312" w:cs="仿宋_GB2312"/>
          <w:kern w:val="2"/>
          <w:sz w:val="28"/>
          <w:szCs w:val="28"/>
          <w:highlight w:val="none"/>
          <w:u w:val="single"/>
          <w:lang w:val="en-US" w:eastAsia="zh-CN" w:bidi="ar-SA"/>
        </w:rPr>
        <w:t xml:space="preserve">      </w:t>
      </w:r>
      <w:r>
        <w:rPr>
          <w:rFonts w:hint="eastAsia" w:ascii="仿宋_GB2312" w:hAnsi="仿宋_GB2312" w:eastAsia="仿宋_GB2312" w:cs="仿宋_GB2312"/>
          <w:kern w:val="2"/>
          <w:sz w:val="28"/>
          <w:szCs w:val="28"/>
          <w:highlight w:val="none"/>
          <w:lang w:val="en-US" w:eastAsia="zh-CN" w:bidi="ar-SA"/>
        </w:rPr>
        <w:t>年，小写：¥</w:t>
      </w:r>
      <w:r>
        <w:rPr>
          <w:rFonts w:hint="eastAsia" w:ascii="仿宋_GB2312" w:hAnsi="仿宋_GB2312" w:eastAsia="仿宋_GB2312" w:cs="仿宋_GB2312"/>
          <w:kern w:val="2"/>
          <w:sz w:val="28"/>
          <w:szCs w:val="28"/>
          <w:highlight w:val="none"/>
          <w:u w:val="single"/>
          <w:lang w:val="en-US" w:eastAsia="zh-CN" w:bidi="ar-SA"/>
        </w:rPr>
        <w:t xml:space="preserve">     </w:t>
      </w:r>
      <w:r>
        <w:rPr>
          <w:rFonts w:hint="eastAsia" w:ascii="仿宋_GB2312" w:hAnsi="仿宋_GB2312" w:eastAsia="仿宋_GB2312" w:cs="仿宋_GB2312"/>
          <w:kern w:val="2"/>
          <w:sz w:val="28"/>
          <w:szCs w:val="28"/>
          <w:highlight w:val="none"/>
          <w:lang w:val="en-US" w:eastAsia="zh-CN" w:bidi="ar-SA"/>
        </w:rPr>
        <w:t>元；税金（人民币）大写：</w:t>
      </w:r>
      <w:r>
        <w:rPr>
          <w:rFonts w:hint="eastAsia" w:ascii="仿宋_GB2312" w:hAnsi="仿宋_GB2312" w:eastAsia="仿宋_GB2312" w:cs="仿宋_GB2312"/>
          <w:kern w:val="2"/>
          <w:sz w:val="28"/>
          <w:szCs w:val="28"/>
          <w:highlight w:val="none"/>
          <w:u w:val="single"/>
          <w:lang w:val="en-US" w:eastAsia="zh-CN" w:bidi="ar-SA"/>
        </w:rPr>
        <w:t xml:space="preserve">           </w:t>
      </w:r>
      <w:r>
        <w:rPr>
          <w:rFonts w:hint="eastAsia" w:ascii="仿宋_GB2312" w:hAnsi="仿宋_GB2312" w:eastAsia="仿宋_GB2312" w:cs="仿宋_GB2312"/>
          <w:kern w:val="2"/>
          <w:sz w:val="28"/>
          <w:szCs w:val="28"/>
          <w:highlight w:val="none"/>
          <w:lang w:val="en-US" w:eastAsia="zh-CN" w:bidi="ar-SA"/>
        </w:rPr>
        <w:t>年，小写：¥</w:t>
      </w:r>
      <w:r>
        <w:rPr>
          <w:rFonts w:hint="eastAsia" w:ascii="仿宋_GB2312" w:hAnsi="仿宋_GB2312" w:eastAsia="仿宋_GB2312" w:cs="仿宋_GB2312"/>
          <w:kern w:val="2"/>
          <w:sz w:val="28"/>
          <w:szCs w:val="28"/>
          <w:highlight w:val="none"/>
          <w:u w:val="single"/>
          <w:lang w:val="en-US" w:eastAsia="zh-CN" w:bidi="ar-SA"/>
        </w:rPr>
        <w:t xml:space="preserve">     </w:t>
      </w:r>
      <w:r>
        <w:rPr>
          <w:rFonts w:hint="eastAsia" w:ascii="仿宋_GB2312" w:hAnsi="仿宋_GB2312" w:eastAsia="仿宋_GB2312" w:cs="仿宋_GB2312"/>
          <w:kern w:val="2"/>
          <w:sz w:val="28"/>
          <w:szCs w:val="28"/>
          <w:highlight w:val="none"/>
          <w:lang w:val="en-US" w:eastAsia="zh-CN" w:bidi="ar-SA"/>
        </w:rPr>
        <w:t>元。</w:t>
      </w:r>
    </w:p>
    <w:p w14:paraId="13099D67">
      <w:pPr>
        <w:pStyle w:val="4"/>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2、付款方式：</w:t>
      </w:r>
    </w:p>
    <w:p w14:paraId="04A50864">
      <w:pPr>
        <w:pStyle w:val="4"/>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本项目承包款由乙方缴纳至开封市公共资源交易中心指定账户。</w:t>
      </w:r>
    </w:p>
    <w:p w14:paraId="76F689FE">
      <w:pPr>
        <w:pStyle w:val="4"/>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3、甲方收取开封市公共资源交易中心的承包款后须向乙方出具正式发票。</w:t>
      </w:r>
    </w:p>
    <w:p w14:paraId="02FB7DF5">
      <w:pPr>
        <w:pStyle w:val="4"/>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4、</w:t>
      </w:r>
      <w:r>
        <w:rPr>
          <w:rFonts w:hint="eastAsia" w:ascii="仿宋_GB2312" w:hAnsi="仿宋_GB2312" w:eastAsia="仿宋_GB2312" w:cs="仿宋_GB2312"/>
          <w:sz w:val="28"/>
          <w:szCs w:val="28"/>
          <w:highlight w:val="none"/>
        </w:rPr>
        <w:t>履约保证金（人民币）大写：</w:t>
      </w:r>
      <w:r>
        <w:rPr>
          <w:rFonts w:hint="eastAsia" w:ascii="仿宋_GB2312" w:hAnsi="仿宋_GB2312" w:eastAsia="仿宋_GB2312" w:cs="仿宋_GB2312"/>
          <w:sz w:val="28"/>
          <w:szCs w:val="28"/>
          <w:highlight w:val="none"/>
          <w:u w:val="single"/>
          <w:lang w:val="en-US" w:eastAsia="zh-CN"/>
        </w:rPr>
        <w:t>伍万</w:t>
      </w:r>
      <w:r>
        <w:rPr>
          <w:rFonts w:hint="eastAsia" w:ascii="仿宋_GB2312" w:hAnsi="仿宋_GB2312" w:eastAsia="仿宋_GB2312" w:cs="仿宋_GB2312"/>
          <w:sz w:val="28"/>
          <w:szCs w:val="28"/>
          <w:highlight w:val="none"/>
          <w:u w:val="single"/>
        </w:rPr>
        <w:t>元整</w:t>
      </w:r>
      <w:r>
        <w:rPr>
          <w:rFonts w:hint="eastAsia" w:ascii="仿宋_GB2312" w:hAnsi="仿宋_GB2312" w:eastAsia="仿宋_GB2312" w:cs="仿宋_GB2312"/>
          <w:sz w:val="28"/>
          <w:szCs w:val="28"/>
          <w:highlight w:val="none"/>
        </w:rPr>
        <w:t>，小写：¥</w:t>
      </w:r>
      <w:r>
        <w:rPr>
          <w:rFonts w:hint="eastAsia" w:ascii="仿宋_GB2312" w:hAnsi="仿宋_GB2312" w:eastAsia="仿宋_GB2312" w:cs="仿宋_GB2312"/>
          <w:sz w:val="28"/>
          <w:szCs w:val="28"/>
          <w:highlight w:val="none"/>
          <w:u w:val="single"/>
          <w:lang w:val="en-US" w:eastAsia="zh-CN"/>
        </w:rPr>
        <w:t>5</w:t>
      </w:r>
      <w:r>
        <w:rPr>
          <w:rFonts w:hint="eastAsia" w:ascii="仿宋_GB2312" w:hAnsi="仿宋_GB2312" w:eastAsia="仿宋_GB2312" w:cs="仿宋_GB2312"/>
          <w:sz w:val="28"/>
          <w:szCs w:val="28"/>
          <w:highlight w:val="none"/>
          <w:u w:val="single"/>
        </w:rPr>
        <w:t>0000</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kern w:val="2"/>
          <w:sz w:val="28"/>
          <w:szCs w:val="28"/>
          <w:highlight w:val="none"/>
          <w:lang w:val="en-US" w:eastAsia="zh-CN" w:bidi="ar-SA"/>
        </w:rPr>
        <w:t>协议签订前乙方向甲方指定账户通过转账方式支付履约保证金。用于抵扣乙方违规罚款、欠费、设施损坏赔偿、游客理赔；合同到期无欠费、无违规、无赔付，甲方无息全额退还。</w:t>
      </w:r>
    </w:p>
    <w:p w14:paraId="36B6E13C">
      <w:pPr>
        <w:keepNext w:val="0"/>
        <w:keepLines w:val="0"/>
        <w:pageBreakBefore w:val="0"/>
        <w:widowControl/>
        <w:suppressLineNumbers w:val="0"/>
        <w:kinsoku/>
        <w:wordWrap/>
        <w:overflowPunct/>
        <w:topLinePunct w:val="0"/>
        <w:bidi w:val="0"/>
        <w:snapToGrid/>
        <w:spacing w:line="4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2"/>
          <w:sz w:val="28"/>
          <w:szCs w:val="28"/>
          <w:highlight w:val="none"/>
          <w:lang w:val="en-US" w:eastAsia="zh-CN" w:bidi="ar-SA"/>
        </w:rPr>
        <w:t>5、其他自理费用：经营期间水电费、网络费、垃圾清运费、环境卫生费、安保费、人员工资、办证税费、经营保险、行政处罚费用，全部由乙方自行承担。</w:t>
      </w:r>
    </w:p>
    <w:p w14:paraId="050A9EA1">
      <w:pPr>
        <w:keepNext w:val="0"/>
        <w:keepLines w:val="0"/>
        <w:pageBreakBefore w:val="0"/>
        <w:widowControl/>
        <w:suppressLineNumbers w:val="0"/>
        <w:kinsoku/>
        <w:wordWrap/>
        <w:overflowPunct/>
        <w:topLinePunct w:val="0"/>
        <w:bidi w:val="0"/>
        <w:snapToGrid/>
        <w:spacing w:line="420" w:lineRule="exact"/>
        <w:jc w:val="left"/>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第四条</w:t>
      </w:r>
      <w:r>
        <w:rPr>
          <w:rFonts w:hint="eastAsia" w:ascii="仿宋_GB2312" w:hAnsi="仿宋_GB2312" w:eastAsia="仿宋_GB2312" w:cs="仿宋_GB2312"/>
          <w:b/>
          <w:bCs/>
          <w:kern w:val="2"/>
          <w:sz w:val="28"/>
          <w:szCs w:val="28"/>
          <w:highlight w:val="none"/>
          <w:lang w:val="en-US" w:eastAsia="zh-CN" w:bidi="ar-SA"/>
        </w:rPr>
        <w:t>：</w:t>
      </w:r>
      <w:r>
        <w:rPr>
          <w:rFonts w:hint="eastAsia" w:ascii="仿宋_GB2312" w:hAnsi="仿宋_GB2312" w:eastAsia="仿宋_GB2312" w:cs="仿宋_GB2312"/>
          <w:b/>
          <w:bCs/>
          <w:kern w:val="2"/>
          <w:sz w:val="28"/>
          <w:szCs w:val="28"/>
          <w:highlight w:val="none"/>
          <w:lang w:val="en-US" w:eastAsia="zh-CN" w:bidi="ar-SA"/>
        </w:rPr>
        <w:t>游人安全专项管理约定</w:t>
      </w:r>
    </w:p>
    <w:p w14:paraId="725FCE4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1、</w:t>
      </w:r>
      <w:r>
        <w:rPr>
          <w:rFonts w:hint="eastAsia" w:ascii="仿宋_GB2312" w:hAnsi="仿宋_GB2312" w:eastAsia="仿宋_GB2312" w:cs="仿宋_GB2312"/>
          <w:b w:val="0"/>
          <w:bCs w:val="0"/>
          <w:kern w:val="2"/>
          <w:sz w:val="28"/>
          <w:szCs w:val="28"/>
          <w:highlight w:val="none"/>
          <w:lang w:val="en-US" w:eastAsia="zh-CN" w:bidi="ar-SA"/>
        </w:rPr>
        <w:t>保险兜底要求</w:t>
      </w:r>
    </w:p>
    <w:p w14:paraId="301BC2DF">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乙方签订合同7日内，必须购买：场地公众责任险、儿童游乐专项责任险、游客意外伤害险，</w:t>
      </w:r>
      <w:r>
        <w:rPr>
          <w:rFonts w:hint="eastAsia" w:ascii="仿宋_GB2312" w:hAnsi="仿宋_GB2312" w:eastAsia="仿宋_GB2312" w:cs="仿宋_GB2312"/>
          <w:sz w:val="28"/>
          <w:szCs w:val="28"/>
          <w:highlight w:val="none"/>
          <w:lang w:val="en-US" w:eastAsia="zh-CN"/>
        </w:rPr>
        <w:t>全覆盖全场景风险，</w:t>
      </w:r>
      <w:r>
        <w:rPr>
          <w:rFonts w:hint="eastAsia" w:ascii="仿宋_GB2312" w:hAnsi="仿宋_GB2312" w:eastAsia="仿宋_GB2312" w:cs="仿宋_GB2312"/>
          <w:b w:val="0"/>
          <w:bCs w:val="0"/>
          <w:kern w:val="2"/>
          <w:sz w:val="28"/>
          <w:szCs w:val="28"/>
          <w:highlight w:val="none"/>
          <w:lang w:val="en-US" w:eastAsia="zh-CN" w:bidi="ar-SA"/>
        </w:rPr>
        <w:t>单次保额不低于200万元，保险受益人含园区管理方，保单上交甲方备案，保险到期前7日内续保，无保险禁止营业。</w:t>
      </w:r>
    </w:p>
    <w:p w14:paraId="1AFB950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2、</w:t>
      </w:r>
      <w:r>
        <w:rPr>
          <w:rFonts w:hint="eastAsia" w:ascii="仿宋_GB2312" w:hAnsi="仿宋_GB2312" w:eastAsia="仿宋_GB2312" w:cs="仿宋_GB2312"/>
          <w:b w:val="0"/>
          <w:bCs w:val="0"/>
          <w:kern w:val="2"/>
          <w:sz w:val="28"/>
          <w:szCs w:val="28"/>
          <w:highlight w:val="none"/>
          <w:lang w:val="en-US" w:eastAsia="zh-CN" w:bidi="ar-SA"/>
        </w:rPr>
        <w:t xml:space="preserve"> 现场人防、物防安全要求</w:t>
      </w:r>
    </w:p>
    <w:p w14:paraId="25B9E49A">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（1）</w:t>
      </w:r>
      <w:r>
        <w:rPr>
          <w:rFonts w:hint="eastAsia" w:ascii="仿宋_GB2312" w:hAnsi="仿宋_GB2312" w:eastAsia="仿宋_GB2312" w:cs="仿宋_GB2312"/>
          <w:b w:val="0"/>
          <w:bCs w:val="0"/>
          <w:kern w:val="2"/>
          <w:sz w:val="28"/>
          <w:szCs w:val="28"/>
          <w:highlight w:val="none"/>
          <w:lang w:val="en-US" w:eastAsia="zh-CN" w:bidi="ar-SA"/>
        </w:rPr>
        <w:t>乙方全域布设硬质安全围挡、隔离护栏，分离游乐区、市集摊位区、游客通行通道，人车分流、游玩分流，杜绝交叉碰撞；</w:t>
      </w:r>
    </w:p>
    <w:p w14:paraId="6F03D567">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（2）</w:t>
      </w:r>
      <w:r>
        <w:rPr>
          <w:rFonts w:hint="eastAsia" w:ascii="仿宋_GB2312" w:hAnsi="仿宋_GB2312" w:eastAsia="仿宋_GB2312" w:cs="仿宋_GB2312"/>
          <w:b w:val="0"/>
          <w:bCs w:val="0"/>
          <w:kern w:val="2"/>
          <w:sz w:val="28"/>
          <w:szCs w:val="28"/>
          <w:highlight w:val="none"/>
          <w:lang w:val="en-US" w:eastAsia="zh-CN" w:bidi="ar-SA"/>
        </w:rPr>
        <w:t>游乐区全域铺设加厚防滑防撞地垫，边角全包防护，张贴游玩须知、年龄限制、监护人陪同提示、禁止攀爬警示标识；</w:t>
      </w:r>
    </w:p>
    <w:p w14:paraId="3DD5D5A7">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（3）</w:t>
      </w:r>
      <w:r>
        <w:rPr>
          <w:rFonts w:hint="eastAsia" w:ascii="仿宋_GB2312" w:hAnsi="仿宋_GB2312" w:eastAsia="仿宋_GB2312" w:cs="仿宋_GB2312"/>
          <w:b w:val="0"/>
          <w:bCs w:val="0"/>
          <w:kern w:val="2"/>
          <w:sz w:val="28"/>
          <w:szCs w:val="28"/>
          <w:highlight w:val="none"/>
          <w:lang w:val="en-US" w:eastAsia="zh-CN" w:bidi="ar-SA"/>
        </w:rPr>
        <w:t>项目常态化配备持证安全员：平日不少于4名在岗安全员，周末节假日、研学客流高峰不少于6名专职安全员全域巡逻值守；</w:t>
      </w:r>
    </w:p>
    <w:p w14:paraId="08FCD554">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（4）</w:t>
      </w:r>
      <w:r>
        <w:rPr>
          <w:rFonts w:hint="eastAsia" w:ascii="仿宋_GB2312" w:hAnsi="仿宋_GB2312" w:eastAsia="仿宋_GB2312" w:cs="仿宋_GB2312"/>
          <w:b w:val="0"/>
          <w:bCs w:val="0"/>
          <w:kern w:val="2"/>
          <w:sz w:val="28"/>
          <w:szCs w:val="28"/>
          <w:highlight w:val="none"/>
          <w:lang w:val="en-US" w:eastAsia="zh-CN" w:bidi="ar-SA"/>
        </w:rPr>
        <w:t>场地配齐灭火器、急救医药箱、应急照明灯、防撞警示锥，应急物资定点摆放、专人管理；</w:t>
      </w:r>
    </w:p>
    <w:p w14:paraId="07131DAB">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（5）</w:t>
      </w:r>
      <w:r>
        <w:rPr>
          <w:rFonts w:hint="eastAsia" w:ascii="仿宋_GB2312" w:hAnsi="仿宋_GB2312" w:eastAsia="仿宋_GB2312" w:cs="仿宋_GB2312"/>
          <w:b w:val="0"/>
          <w:bCs w:val="0"/>
          <w:kern w:val="2"/>
          <w:sz w:val="28"/>
          <w:szCs w:val="28"/>
          <w:highlight w:val="none"/>
          <w:lang w:val="en-US" w:eastAsia="zh-CN" w:bidi="ar-SA"/>
        </w:rPr>
        <w:t>大风、暴雨、高温、雷电、寒潮恶劣天气，乙方必须第一时间断电、关停游乐设施、疏散全部游客，即刻停止市集经营。</w:t>
      </w:r>
    </w:p>
    <w:p w14:paraId="24BF863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3、</w:t>
      </w:r>
      <w:r>
        <w:rPr>
          <w:rFonts w:hint="eastAsia" w:ascii="仿宋_GB2312" w:hAnsi="仿宋_GB2312" w:eastAsia="仿宋_GB2312" w:cs="仿宋_GB2312"/>
          <w:b w:val="0"/>
          <w:bCs w:val="0"/>
          <w:kern w:val="2"/>
          <w:sz w:val="28"/>
          <w:szCs w:val="28"/>
          <w:highlight w:val="none"/>
          <w:lang w:val="en-US" w:eastAsia="zh-CN" w:bidi="ar-SA"/>
        </w:rPr>
        <w:t xml:space="preserve"> 安全权责划分</w:t>
      </w:r>
    </w:p>
    <w:p w14:paraId="78417750">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（1）</w:t>
      </w:r>
      <w:r>
        <w:rPr>
          <w:rFonts w:hint="eastAsia" w:ascii="仿宋_GB2312" w:hAnsi="仿宋_GB2312" w:eastAsia="仿宋_GB2312" w:cs="仿宋_GB2312"/>
          <w:b w:val="0"/>
          <w:bCs w:val="0"/>
          <w:kern w:val="2"/>
          <w:sz w:val="28"/>
          <w:szCs w:val="28"/>
          <w:highlight w:val="none"/>
          <w:lang w:val="en-US" w:eastAsia="zh-CN" w:bidi="ar-SA"/>
        </w:rPr>
        <w:t>本项目范围内：儿童磕碰摔伤、设施倒塌伤人、食品误食中毒、摊位坍塌、用电火灾、拥挤踩踏、游客纠纷财物损失、未成年人监护意外等全部人身、财产事故，全部由乙方全权承担赔偿、医疗、法务、舆情全部责任；</w:t>
      </w:r>
    </w:p>
    <w:p w14:paraId="3DFDABD1">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（2）</w:t>
      </w:r>
      <w:r>
        <w:rPr>
          <w:rFonts w:hint="eastAsia" w:ascii="仿宋_GB2312" w:hAnsi="仿宋_GB2312" w:eastAsia="仿宋_GB2312" w:cs="仿宋_GB2312"/>
          <w:b w:val="0"/>
          <w:bCs w:val="0"/>
          <w:kern w:val="2"/>
          <w:sz w:val="28"/>
          <w:szCs w:val="28"/>
          <w:highlight w:val="none"/>
          <w:lang w:val="en-US" w:eastAsia="zh-CN" w:bidi="ar-SA"/>
        </w:rPr>
        <w:t>因乙方安全管理缺位、设施不合格、值守缺位、违规经营，导致园区被安监、市监、城管处罚、负面舆情、名誉受损，乙方全额赔偿甲方所有损失；</w:t>
      </w:r>
    </w:p>
    <w:p w14:paraId="0403A880">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（3）</w:t>
      </w:r>
      <w:r>
        <w:rPr>
          <w:rFonts w:hint="eastAsia" w:ascii="仿宋_GB2312" w:hAnsi="仿宋_GB2312" w:eastAsia="仿宋_GB2312" w:cs="仿宋_GB2312"/>
          <w:b w:val="0"/>
          <w:bCs w:val="0"/>
          <w:kern w:val="2"/>
          <w:sz w:val="28"/>
          <w:szCs w:val="28"/>
          <w:highlight w:val="none"/>
          <w:lang w:val="en-US" w:eastAsia="zh-CN" w:bidi="ar-SA"/>
        </w:rPr>
        <w:t>甲方仅负责园区外围公共巡查，不承担本项目内部任何游人安全责任。</w:t>
      </w:r>
    </w:p>
    <w:p w14:paraId="31AE0C0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4、</w:t>
      </w:r>
      <w:r>
        <w:rPr>
          <w:rFonts w:hint="eastAsia" w:ascii="仿宋_GB2312" w:hAnsi="仿宋_GB2312" w:eastAsia="仿宋_GB2312" w:cs="仿宋_GB2312"/>
          <w:b w:val="0"/>
          <w:bCs w:val="0"/>
          <w:kern w:val="2"/>
          <w:sz w:val="28"/>
          <w:szCs w:val="28"/>
          <w:highlight w:val="none"/>
          <w:lang w:val="en-US" w:eastAsia="zh-CN" w:bidi="ar-SA"/>
        </w:rPr>
        <w:t>游乐设施专项安全管理</w:t>
      </w:r>
    </w:p>
    <w:p w14:paraId="0ACB792E">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（1）</w:t>
      </w:r>
      <w:r>
        <w:rPr>
          <w:rFonts w:hint="eastAsia" w:ascii="仿宋_GB2312" w:hAnsi="仿宋_GB2312" w:eastAsia="仿宋_GB2312" w:cs="仿宋_GB2312"/>
          <w:b w:val="0"/>
          <w:bCs w:val="0"/>
          <w:kern w:val="2"/>
          <w:sz w:val="28"/>
          <w:szCs w:val="28"/>
          <w:highlight w:val="none"/>
          <w:lang w:val="en-US" w:eastAsia="zh-CN" w:bidi="ar-SA"/>
        </w:rPr>
        <w:t>所有游乐设备必须提供合格证、年检报告、质检报告，无证设备一律禁止进场；</w:t>
      </w:r>
    </w:p>
    <w:p w14:paraId="7807E2C8">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（2）</w:t>
      </w:r>
      <w:r>
        <w:rPr>
          <w:rFonts w:hint="eastAsia" w:ascii="仿宋_GB2312" w:hAnsi="仿宋_GB2312" w:eastAsia="仿宋_GB2312" w:cs="仿宋_GB2312"/>
          <w:b w:val="0"/>
          <w:bCs w:val="0"/>
          <w:kern w:val="2"/>
          <w:sz w:val="28"/>
          <w:szCs w:val="28"/>
          <w:highlight w:val="none"/>
          <w:lang w:val="en-US" w:eastAsia="zh-CN" w:bidi="ar-SA"/>
        </w:rPr>
        <w:t>乙方建立每日班前安检台账，检查线路、固件、防护、防滑性能，每日签字留存甲方备查；</w:t>
      </w:r>
    </w:p>
    <w:p w14:paraId="237986CB">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（3）</w:t>
      </w:r>
      <w:r>
        <w:rPr>
          <w:rFonts w:hint="eastAsia" w:ascii="仿宋_GB2312" w:hAnsi="仿宋_GB2312" w:eastAsia="仿宋_GB2312" w:cs="仿宋_GB2312"/>
          <w:b w:val="0"/>
          <w:bCs w:val="0"/>
          <w:kern w:val="2"/>
          <w:sz w:val="28"/>
          <w:szCs w:val="28"/>
          <w:highlight w:val="none"/>
          <w:lang w:val="en-US" w:eastAsia="zh-CN" w:bidi="ar-SA"/>
        </w:rPr>
        <w:t>老旧破损、松动故障设施，24小时内停运拆除离场，带病运营单次罚款1000元。</w:t>
      </w:r>
    </w:p>
    <w:p w14:paraId="436FDDC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jc w:val="left"/>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第五条 场地及市容环境卫生管理</w:t>
      </w:r>
    </w:p>
    <w:p w14:paraId="32DDEBA6">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1、</w:t>
      </w:r>
      <w:r>
        <w:rPr>
          <w:rFonts w:hint="eastAsia" w:ascii="仿宋_GB2312" w:hAnsi="仿宋_GB2312" w:eastAsia="仿宋_GB2312" w:cs="仿宋_GB2312"/>
          <w:b w:val="0"/>
          <w:bCs w:val="0"/>
          <w:kern w:val="2"/>
          <w:sz w:val="28"/>
          <w:szCs w:val="28"/>
          <w:highlight w:val="none"/>
          <w:lang w:val="en-US" w:eastAsia="zh-CN" w:bidi="ar-SA"/>
        </w:rPr>
        <w:t>广场硬质地面保护：禁止重物碾压、尖锐物品划伤、油污腐蚀铺装，油污、污渍当日清洗干净；地面破损、划痕、开裂，乙方按园区铺装定损标准全额赔付修复。</w:t>
      </w:r>
    </w:p>
    <w:p w14:paraId="69E5C24D">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2、</w:t>
      </w:r>
      <w:r>
        <w:rPr>
          <w:rFonts w:hint="eastAsia" w:ascii="仿宋_GB2312" w:hAnsi="仿宋_GB2312" w:eastAsia="仿宋_GB2312" w:cs="仿宋_GB2312"/>
          <w:b w:val="0"/>
          <w:bCs w:val="0"/>
          <w:kern w:val="2"/>
          <w:sz w:val="28"/>
          <w:szCs w:val="28"/>
          <w:highlight w:val="none"/>
          <w:lang w:val="en-US" w:eastAsia="zh-CN" w:bidi="ar-SA"/>
        </w:rPr>
        <w:t>卫生管理：游乐区、市集区乙方包干保洁，日产日清，垃圾桶密闭收纳，经营结束全域清扫、复原广场原貌，无遗留垃圾、杂物、胶带痕迹。</w:t>
      </w:r>
    </w:p>
    <w:p w14:paraId="1F67BC98">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3、</w:t>
      </w:r>
      <w:r>
        <w:rPr>
          <w:rFonts w:hint="eastAsia" w:ascii="仿宋_GB2312" w:hAnsi="仿宋_GB2312" w:eastAsia="仿宋_GB2312" w:cs="仿宋_GB2312"/>
          <w:b w:val="0"/>
          <w:bCs w:val="0"/>
          <w:kern w:val="2"/>
          <w:sz w:val="28"/>
          <w:szCs w:val="28"/>
          <w:highlight w:val="none"/>
          <w:lang w:val="en-US" w:eastAsia="zh-CN" w:bidi="ar-SA"/>
        </w:rPr>
        <w:t>噪音管控：日间噪音符合城市园区标准，20:00后禁止外放音乐、叫卖、广播宣传，严控市集音量，杜绝扰民投诉。</w:t>
      </w:r>
    </w:p>
    <w:p w14:paraId="15DFED4D">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strike/>
          <w:dstrike w:val="0"/>
          <w:color w:val="FF000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4、</w:t>
      </w:r>
      <w:r>
        <w:rPr>
          <w:rFonts w:hint="eastAsia" w:ascii="仿宋_GB2312" w:hAnsi="仿宋_GB2312" w:eastAsia="仿宋_GB2312" w:cs="仿宋_GB2312"/>
          <w:b w:val="0"/>
          <w:bCs w:val="0"/>
          <w:kern w:val="2"/>
          <w:sz w:val="28"/>
          <w:szCs w:val="28"/>
          <w:highlight w:val="none"/>
          <w:lang w:val="en-US" w:eastAsia="zh-CN" w:bidi="ar-SA"/>
        </w:rPr>
        <w:t>消防管理：广场主消防通道宽度≥4米，全天畅通，严禁堆放货品、游乐器材堵塞通道，乙方全员掌握基础消防应急流程。</w:t>
      </w:r>
    </w:p>
    <w:p w14:paraId="6B18C2BE">
      <w:pPr>
        <w:keepNext w:val="0"/>
        <w:keepLines w:val="0"/>
        <w:pageBreakBefore w:val="0"/>
        <w:kinsoku/>
        <w:wordWrap/>
        <w:overflowPunct/>
        <w:topLinePunct w:val="0"/>
        <w:bidi w:val="0"/>
        <w:snapToGrid/>
        <w:spacing w:line="420" w:lineRule="exac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w:t>
      </w:r>
      <w:r>
        <w:rPr>
          <w:rFonts w:hint="eastAsia" w:ascii="仿宋_GB2312" w:hAnsi="仿宋_GB2312" w:eastAsia="仿宋_GB2312" w:cs="仿宋_GB2312"/>
          <w:b/>
          <w:sz w:val="28"/>
          <w:szCs w:val="28"/>
          <w:highlight w:val="none"/>
          <w:lang w:val="en-US" w:eastAsia="zh-CN"/>
        </w:rPr>
        <w:t>六</w:t>
      </w:r>
      <w:r>
        <w:rPr>
          <w:rFonts w:hint="eastAsia" w:ascii="仿宋_GB2312" w:hAnsi="仿宋_GB2312" w:eastAsia="仿宋_GB2312" w:cs="仿宋_GB2312"/>
          <w:b/>
          <w:sz w:val="28"/>
          <w:szCs w:val="28"/>
          <w:highlight w:val="none"/>
        </w:rPr>
        <w:t>条：甲方权利与义务</w:t>
      </w:r>
    </w:p>
    <w:p w14:paraId="2FF3DB66">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1、甲方有权对乙方在本</w:t>
      </w:r>
      <w:r>
        <w:rPr>
          <w:rFonts w:hint="eastAsia" w:ascii="仿宋_GB2312" w:hAnsi="仿宋_GB2312" w:eastAsia="仿宋_GB2312" w:cs="仿宋_GB2312"/>
          <w:sz w:val="28"/>
          <w:szCs w:val="28"/>
          <w:highlight w:val="none"/>
          <w:lang w:eastAsia="zh-CN"/>
        </w:rPr>
        <w:t>协议</w:t>
      </w:r>
      <w:r>
        <w:rPr>
          <w:rFonts w:hint="eastAsia" w:ascii="仿宋_GB2312" w:hAnsi="仿宋_GB2312" w:eastAsia="仿宋_GB2312" w:cs="仿宋_GB2312"/>
          <w:sz w:val="28"/>
          <w:szCs w:val="28"/>
          <w:highlight w:val="none"/>
        </w:rPr>
        <w:t>约定范围内经营管理行为的合法、</w:t>
      </w:r>
      <w:r>
        <w:rPr>
          <w:rFonts w:hint="eastAsia" w:ascii="仿宋_GB2312" w:hAnsi="仿宋_GB2312" w:eastAsia="仿宋_GB2312" w:cs="仿宋_GB2312"/>
          <w:sz w:val="28"/>
          <w:szCs w:val="28"/>
          <w:highlight w:val="none"/>
          <w:lang w:val="en-US" w:eastAsia="zh-CN"/>
        </w:rPr>
        <w:t>合规性进行监督。</w:t>
      </w:r>
    </w:p>
    <w:p w14:paraId="566CE7CE">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2、甲方维护园区整体公共秩序、公共道路、公共消防正常使用；划定固定经营边界，统一管控园区营业时间、噪音、外摆、市容标准。</w:t>
      </w:r>
    </w:p>
    <w:p w14:paraId="5EA8E5EA">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甲方有权每日巡查乙方经营、卫生、消防、食安、游乐安全情况，下发整改通知书，乙方必须限时整改；如乙方拒不整改，甲方可关停场地、扣除全部履约保证金、单方解约。如整改不到位的，经一次整改仍未达标的，违约金为人民币2000元，两次未整改达标的，违约金为人民币5000元。如多次整改不到位，视为乙方违约，甲方有权单方解约，扣除全部履约保证金。</w:t>
      </w:r>
    </w:p>
    <w:p w14:paraId="71C13BBD">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4、甲方有权根据库区整体规划、政府市容环保、自然资源规划、城管、消防等政府部门要求，调整乙方经营区域、经营时段、外摆范围，乙方无条件配合，不得索要赔偿。</w:t>
      </w:r>
    </w:p>
    <w:p w14:paraId="3016B3FA">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5、甲方不参与乙方经营，不承担乙方经营亏损、劳资纠纷、游客人身财产损失、食安事故、游乐事故全部责任。</w:t>
      </w:r>
    </w:p>
    <w:p w14:paraId="5F3530B5">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6、遇库区活动、政府检查、应急防汛、市容整治，有权临时关停、调整项目经营点位，乙方无条件配合，不得索要停业补偿；</w:t>
      </w:r>
    </w:p>
    <w:p w14:paraId="38193149">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7、有权受理游客投诉，对乙方违规、失职行为直接处罚、扣除保证金、单方解约清退。</w:t>
      </w:r>
    </w:p>
    <w:p w14:paraId="291AFFEA">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8、经营权承包期结束或经营权承包期间终止协议时</w:t>
      </w:r>
      <w:r>
        <w:rPr>
          <w:rFonts w:hint="eastAsia" w:ascii="仿宋_GB2312" w:hAnsi="仿宋_GB2312" w:eastAsia="仿宋_GB2312" w:cs="仿宋_GB2312"/>
          <w:sz w:val="28"/>
          <w:szCs w:val="28"/>
          <w:highlight w:val="none"/>
        </w:rPr>
        <w:t>，收验</w:t>
      </w:r>
      <w:r>
        <w:rPr>
          <w:rFonts w:hint="eastAsia" w:ascii="仿宋_GB2312" w:hAnsi="仿宋_GB2312" w:eastAsia="仿宋_GB2312" w:cs="仿宋_GB2312"/>
          <w:sz w:val="28"/>
          <w:szCs w:val="28"/>
          <w:highlight w:val="none"/>
          <w:lang w:val="en-US" w:eastAsia="zh-CN"/>
        </w:rPr>
        <w:t>场地及设施维护状态</w:t>
      </w:r>
      <w:r>
        <w:rPr>
          <w:rFonts w:hint="eastAsia" w:ascii="仿宋_GB2312" w:hAnsi="仿宋_GB2312" w:eastAsia="仿宋_GB2312" w:cs="仿宋_GB2312"/>
          <w:sz w:val="28"/>
          <w:szCs w:val="28"/>
          <w:highlight w:val="none"/>
        </w:rPr>
        <w:t>；收验合格，费用结清，办理收验交接手续。</w:t>
      </w:r>
    </w:p>
    <w:p w14:paraId="0BD874D3">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经营权承包</w:t>
      </w:r>
      <w:r>
        <w:rPr>
          <w:rFonts w:hint="eastAsia" w:ascii="仿宋_GB2312" w:hAnsi="仿宋_GB2312" w:eastAsia="仿宋_GB2312" w:cs="仿宋_GB2312"/>
          <w:sz w:val="28"/>
          <w:szCs w:val="28"/>
          <w:highlight w:val="none"/>
        </w:rPr>
        <w:t>期间内遇不可抗力、水库规划调整、政府行为、相关政策变化或行业主管部门政策需终止</w:t>
      </w:r>
      <w:r>
        <w:rPr>
          <w:rFonts w:hint="eastAsia" w:ascii="仿宋_GB2312" w:hAnsi="仿宋_GB2312" w:eastAsia="仿宋_GB2312" w:cs="仿宋_GB2312"/>
          <w:sz w:val="28"/>
          <w:szCs w:val="28"/>
          <w:highlight w:val="none"/>
          <w:lang w:eastAsia="zh-CN"/>
        </w:rPr>
        <w:t>协议</w:t>
      </w:r>
      <w:r>
        <w:rPr>
          <w:rFonts w:hint="eastAsia" w:ascii="仿宋_GB2312" w:hAnsi="仿宋_GB2312" w:eastAsia="仿宋_GB2312" w:cs="仿宋_GB2312"/>
          <w:sz w:val="28"/>
          <w:szCs w:val="28"/>
          <w:highlight w:val="none"/>
        </w:rPr>
        <w:t>的，甲方应当及时通知乙方解除协议，并无需承担任何违约责任；乙方应当在接到甲方通知后</w:t>
      </w:r>
      <w:r>
        <w:rPr>
          <w:rFonts w:hint="eastAsia" w:ascii="仿宋_GB2312" w:hAnsi="仿宋_GB2312" w:eastAsia="仿宋_GB2312" w:cs="仿宋_GB2312"/>
          <w:sz w:val="28"/>
          <w:szCs w:val="28"/>
          <w:highlight w:val="none"/>
          <w:lang w:val="en-US" w:eastAsia="zh-CN"/>
        </w:rPr>
        <w:t>一个月</w:t>
      </w:r>
      <w:r>
        <w:rPr>
          <w:rFonts w:hint="eastAsia" w:ascii="仿宋_GB2312" w:hAnsi="仿宋_GB2312" w:eastAsia="仿宋_GB2312" w:cs="仿宋_GB2312"/>
          <w:sz w:val="28"/>
          <w:szCs w:val="28"/>
          <w:highlight w:val="none"/>
        </w:rPr>
        <w:t>内</w:t>
      </w:r>
      <w:r>
        <w:rPr>
          <w:rFonts w:hint="eastAsia" w:ascii="仿宋_GB2312" w:hAnsi="仿宋_GB2312" w:eastAsia="仿宋_GB2312" w:cs="仿宋_GB2312"/>
          <w:sz w:val="28"/>
          <w:szCs w:val="28"/>
          <w:highlight w:val="none"/>
          <w:lang w:val="en-US" w:eastAsia="zh-CN"/>
        </w:rPr>
        <w:t>办理退租手续</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乙方已支付的承包款，甲方按照乙方实际使用时间结算后无息退还剩余部分；履约保证金在乙方结清所有费用且场地交接完毕后无息退还。</w:t>
      </w:r>
      <w:r>
        <w:rPr>
          <w:rFonts w:hint="eastAsia" w:ascii="仿宋_GB2312" w:hAnsi="仿宋_GB2312" w:eastAsia="仿宋_GB2312" w:cs="仿宋_GB2312"/>
          <w:sz w:val="28"/>
          <w:szCs w:val="28"/>
          <w:highlight w:val="none"/>
        </w:rPr>
        <w:t>乙方不得就本协议的解除向甲方主张任何形式的补偿、赔偿或损失</w:t>
      </w:r>
      <w:r>
        <w:rPr>
          <w:rFonts w:hint="eastAsia" w:ascii="仿宋_GB2312" w:hAnsi="仿宋_GB2312" w:eastAsia="仿宋_GB2312" w:cs="仿宋_GB2312"/>
          <w:sz w:val="28"/>
          <w:szCs w:val="28"/>
          <w:highlight w:val="none"/>
          <w:lang w:eastAsia="zh-CN"/>
        </w:rPr>
        <w:t>。</w:t>
      </w:r>
    </w:p>
    <w:p w14:paraId="0A067AB4">
      <w:pPr>
        <w:keepNext w:val="0"/>
        <w:keepLines w:val="0"/>
        <w:pageBreakBefore w:val="0"/>
        <w:kinsoku/>
        <w:wordWrap/>
        <w:overflowPunct/>
        <w:topLinePunct w:val="0"/>
        <w:bidi w:val="0"/>
        <w:snapToGrid/>
        <w:spacing w:line="420" w:lineRule="exac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w:t>
      </w:r>
      <w:r>
        <w:rPr>
          <w:rFonts w:hint="eastAsia" w:ascii="仿宋_GB2312" w:hAnsi="仿宋_GB2312" w:eastAsia="仿宋_GB2312" w:cs="仿宋_GB2312"/>
          <w:b/>
          <w:sz w:val="28"/>
          <w:szCs w:val="28"/>
          <w:highlight w:val="none"/>
          <w:lang w:val="en-US" w:eastAsia="zh-CN"/>
        </w:rPr>
        <w:t>七</w:t>
      </w:r>
      <w:r>
        <w:rPr>
          <w:rFonts w:hint="eastAsia" w:ascii="仿宋_GB2312" w:hAnsi="仿宋_GB2312" w:eastAsia="仿宋_GB2312" w:cs="仿宋_GB2312"/>
          <w:b/>
          <w:sz w:val="28"/>
          <w:szCs w:val="28"/>
          <w:highlight w:val="none"/>
        </w:rPr>
        <w:t>条：乙方权利和义务</w:t>
      </w:r>
    </w:p>
    <w:p w14:paraId="3F1C21AA">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乙方经营业态必须与竞拍公告发布业态保持一致，并应在本协议签订之日起10日内将其详细业态设计方案上报至甲方审核，经甲方审核通过，方可进行入场。如经营业态未经甲方审核同意，甲方有权解除合同，并扣除其履约保证金。</w:t>
      </w:r>
    </w:p>
    <w:p w14:paraId="0883E51E">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2、乙方严格执行国家法律法规和甲方的相关管理规定，且只能在本次中标之范围内合法文明经营，不得超区域或占道经营。</w:t>
      </w:r>
    </w:p>
    <w:p w14:paraId="1C656D28">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经营权承包期间，乙方全权承担全部安全责任：包含游客摔伤、食物中毒、游乐设施伤人、用电起火、噪音扰民、游客纠纷、第三方索赔等一切事故，全部由乙方赔付处理，与甲方无关；乙方自行采取防火、防盗等安全措施。加强用电安全，禁止私接大功率电器，不得乱拖、乱接电线；若给甲方造成名誉、罚款损失，乙方全额赔偿甲方。</w:t>
      </w:r>
    </w:p>
    <w:p w14:paraId="0FC2B819">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4、常态化开展安全培训，做好未成年人入园游玩安全劝导，提醒家长履行监护责任。</w:t>
      </w:r>
    </w:p>
    <w:p w14:paraId="539EACE9">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5、乙方规范用电用火，配齐灭火器、消防器材，落实夜间值守，节假日增派安保人员；服从园区统一节假日管理、防疫、市容、应急管控要求。</w:t>
      </w:r>
    </w:p>
    <w:p w14:paraId="6A155825">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6、接受甲方及政府职能机构对经营范围、卫生、质量、价格、广告、服务等方面的监督、检查，并服从管理，及时整改。</w:t>
      </w:r>
    </w:p>
    <w:p w14:paraId="4332E642">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乙方经营业态不得</w:t>
      </w:r>
      <w:r>
        <w:rPr>
          <w:rFonts w:hint="eastAsia" w:ascii="仿宋_GB2312" w:hAnsi="仿宋_GB2312" w:eastAsia="仿宋_GB2312" w:cs="仿宋_GB2312"/>
          <w:sz w:val="28"/>
          <w:szCs w:val="28"/>
          <w:highlight w:val="none"/>
          <w:lang w:val="en-US" w:eastAsia="zh-CN"/>
        </w:rPr>
        <w:t>有烧烤，不得</w:t>
      </w:r>
      <w:r>
        <w:rPr>
          <w:rFonts w:hint="eastAsia" w:ascii="仿宋_GB2312" w:hAnsi="仿宋_GB2312" w:eastAsia="仿宋_GB2312" w:cs="仿宋_GB2312"/>
          <w:sz w:val="28"/>
          <w:szCs w:val="28"/>
          <w:highlight w:val="none"/>
        </w:rPr>
        <w:t>设置明火</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产生油烟</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不得有</w:t>
      </w:r>
      <w:r>
        <w:rPr>
          <w:rFonts w:hint="eastAsia" w:ascii="仿宋_GB2312" w:hAnsi="仿宋_GB2312" w:eastAsia="仿宋_GB2312" w:cs="仿宋_GB2312"/>
          <w:sz w:val="28"/>
          <w:szCs w:val="28"/>
          <w:highlight w:val="none"/>
        </w:rPr>
        <w:t>异味、噪音等可能影响周边环境的经营项目。</w:t>
      </w:r>
    </w:p>
    <w:p w14:paraId="4FE37ED9">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按库区电费收费标准规定及时向甲方交纳电费。</w:t>
      </w:r>
    </w:p>
    <w:p w14:paraId="1583A3B1">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乙方应保持经营区域的环境卫生及配套设施完好，并负责日常维修维护，不得在经营区域私搭乱建、破坏绿地及损坏周边配套设施。乙方如因经营需要在承包场地内进行任何新建、改建或搭建，仅限可移动式临时设施，且必须事先向甲方提交书面申请及方案，经甲方书面同意后方可实施；乙方严禁搭建不可移动性临建及任何固定建筑物、构筑物或设施。乙方违反本条前述约定的，甲方有权要求乙方限期拆除、恢复原状，乙方应承担违约责任并支付违约金人民币一万元每次，违约金不足以弥补甲方损失的乙方应另行赔偿；乙方逾期不拆除，甲方有权单方解除</w:t>
      </w:r>
      <w:r>
        <w:rPr>
          <w:rFonts w:hint="eastAsia" w:ascii="仿宋_GB2312" w:hAnsi="仿宋_GB2312" w:eastAsia="仿宋_GB2312" w:cs="仿宋_GB2312"/>
          <w:sz w:val="28"/>
          <w:szCs w:val="28"/>
          <w:highlight w:val="none"/>
          <w:lang w:eastAsia="zh-CN"/>
        </w:rPr>
        <w:t>协议</w:t>
      </w:r>
      <w:r>
        <w:rPr>
          <w:rFonts w:hint="eastAsia" w:ascii="仿宋_GB2312" w:hAnsi="仿宋_GB2312" w:eastAsia="仿宋_GB2312" w:cs="仿宋_GB2312"/>
          <w:sz w:val="28"/>
          <w:szCs w:val="28"/>
          <w:highlight w:val="none"/>
        </w:rPr>
        <w:t>，履约保证金不予退还，乙方应赔偿甲方全部损失。乙方如因经营需要确需搭建可移动式临时设施，必须向自然资源和规划局、城市管理局等相关政府部门办理并取得全部合法有效的行政许可手续，因搭建物未取得合法手续、手续瑕疵或失效，导致其被认定为违法建筑或被责令整改、罚款、没收、强制拆除的，由此产生的一切法律责任、行政处罚、经济损失（包括但不限于乙方自身损失、对第三方及甲方造成的损失、甲方商誉损失及处理纠纷的费用）均由乙方独立承担；发生前述任何情形的，甲方有权立即单方解除</w:t>
      </w:r>
      <w:r>
        <w:rPr>
          <w:rFonts w:hint="eastAsia" w:ascii="仿宋_GB2312" w:hAnsi="仿宋_GB2312" w:eastAsia="仿宋_GB2312" w:cs="仿宋_GB2312"/>
          <w:sz w:val="28"/>
          <w:szCs w:val="28"/>
          <w:highlight w:val="none"/>
          <w:lang w:eastAsia="zh-CN"/>
        </w:rPr>
        <w:t>协议</w:t>
      </w:r>
      <w:r>
        <w:rPr>
          <w:rFonts w:hint="eastAsia" w:ascii="仿宋_GB2312" w:hAnsi="仿宋_GB2312" w:eastAsia="仿宋_GB2312" w:cs="仿宋_GB2312"/>
          <w:sz w:val="28"/>
          <w:szCs w:val="28"/>
          <w:highlight w:val="none"/>
        </w:rPr>
        <w:t>，乙方应在限期内拆除搭建物、恢复场地原状，履约保证金不予退还，乙方应赔偿甲方全部损失。</w:t>
      </w:r>
    </w:p>
    <w:p w14:paraId="03609AD2">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、自行办理营业执照、相关行业证照、税务登记等证照，</w:t>
      </w:r>
      <w:r>
        <w:rPr>
          <w:rFonts w:hint="eastAsia" w:ascii="仿宋_GB2312" w:hAnsi="仿宋_GB2312" w:eastAsia="仿宋_GB2312" w:cs="仿宋_GB2312"/>
          <w:color w:val="000000" w:themeColor="text1"/>
          <w:sz w:val="28"/>
          <w:szCs w:val="28"/>
          <w:highlight w:val="none"/>
          <w14:textFill>
            <w14:solidFill>
              <w14:schemeClr w14:val="tx1"/>
            </w14:solidFill>
          </w14:textFill>
        </w:rPr>
        <w:t>承担经营所发生的一切税费并承担相关责任，并</w:t>
      </w:r>
      <w:r>
        <w:rPr>
          <w:rFonts w:hint="eastAsia" w:ascii="仿宋_GB2312" w:hAnsi="仿宋_GB2312" w:eastAsia="仿宋_GB2312" w:cs="仿宋_GB2312"/>
          <w:sz w:val="28"/>
          <w:szCs w:val="28"/>
          <w:highlight w:val="none"/>
        </w:rPr>
        <w:t>在经营过程中规范用工，因乙方违法违规经营或其他违法违规行为造成的后果及损失由乙方自行承担</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且乙方不得以甲方同意其经营业态方案为由，而主张甲方存在过错</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2D3F46BF">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lang w:val="en-US" w:eastAsia="zh-CN"/>
        </w:rPr>
        <w:t>11</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乙方不得将</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该项目经营权</w:t>
      </w:r>
      <w:r>
        <w:rPr>
          <w:rFonts w:hint="eastAsia" w:ascii="仿宋_GB2312" w:hAnsi="仿宋_GB2312" w:eastAsia="仿宋_GB2312" w:cs="仿宋_GB2312"/>
          <w:color w:val="000000" w:themeColor="text1"/>
          <w:sz w:val="28"/>
          <w:szCs w:val="28"/>
          <w:highlight w:val="none"/>
          <w14:textFill>
            <w14:solidFill>
              <w14:schemeClr w14:val="tx1"/>
            </w14:solidFill>
          </w14:textFill>
        </w:rPr>
        <w:t>转让给第三方，不得将</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经营权承包场地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用作抵（质）押、转让，不得以甲方名义进行经营和广告宣传活动。</w:t>
      </w:r>
    </w:p>
    <w:p w14:paraId="57AC2507">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12、乙方所有宣传、定价、活动，需提前报备甲方审核，不得使用园区名义私自对外招商、签约、宣传。</w:t>
      </w:r>
    </w:p>
    <w:p w14:paraId="5CA29B2F">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、乙方经营期间所雇佣的工作人员的工资、福利待遇、工伤、医疗、养老等保险费用及其他费用、工作人员人身财产安全均由乙方负责。乙方保证所雇佣人员符合相关法律法规的资质要求。</w:t>
      </w:r>
    </w:p>
    <w:p w14:paraId="5E06F98C">
      <w:pPr>
        <w:keepNext w:val="0"/>
        <w:keepLines w:val="0"/>
        <w:pageBreakBefore w:val="0"/>
        <w:kinsoku/>
        <w:wordWrap/>
        <w:overflowPunct/>
        <w:topLinePunct w:val="0"/>
        <w:bidi w:val="0"/>
        <w:snapToGrid/>
        <w:spacing w:line="420" w:lineRule="exact"/>
        <w:ind w:left="56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、在经营过程中，如乙方出现其他经济问题，乙方自行处理与</w:t>
      </w:r>
    </w:p>
    <w:p w14:paraId="7ADBC9E7">
      <w:pPr>
        <w:keepNext w:val="0"/>
        <w:keepLines w:val="0"/>
        <w:pageBreakBefore w:val="0"/>
        <w:kinsoku/>
        <w:wordWrap/>
        <w:overflowPunct/>
        <w:topLinePunct w:val="0"/>
        <w:bidi w:val="0"/>
        <w:snapToGrid/>
        <w:spacing w:line="42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甲方无关，若因乙方原因导致项目无法正常运营或对甲方造成不利影响的（包括但不限于因乙方与第三人纠纷导致甲方需协助法院执行或对其他机关进行协助的），甲方有权立即解除</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协议</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5A5E84C5">
      <w:pPr>
        <w:keepNext w:val="0"/>
        <w:keepLines w:val="0"/>
        <w:pageBreakBefore w:val="0"/>
        <w:numPr>
          <w:ilvl w:val="0"/>
          <w:numId w:val="0"/>
        </w:numPr>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15、乙方应及时劝阻游客危险行为，做好人流疏导，避免局部区域人员聚集。加强场地巡检，及时排查地面破损、设施松动、绿植倒伏等安全隐患，做到隐患立查立改。</w:t>
      </w:r>
    </w:p>
    <w:p w14:paraId="30CB63BD">
      <w:pPr>
        <w:keepNext w:val="0"/>
        <w:keepLines w:val="0"/>
        <w:pageBreakBefore w:val="0"/>
        <w:numPr>
          <w:ilvl w:val="0"/>
          <w:numId w:val="0"/>
        </w:numPr>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16、乙方应积极配合甲方及各级政府、行政主管部门在经营区域内依法开展的各项活动，包括但不限于应急救援演练、消防演练、安全检查、突发事件处置、公共卫生防控及其他公益性、行政性活动。对于上述活动，乙方应无条件予以配合，并按照要求提供必要的场地、设施及其他支持。</w:t>
      </w:r>
    </w:p>
    <w:p w14:paraId="6E4B41CA">
      <w:pPr>
        <w:keepNext w:val="0"/>
        <w:keepLines w:val="0"/>
        <w:pageBreakBefore w:val="0"/>
        <w:widowControl/>
        <w:suppressLineNumbers w:val="0"/>
        <w:kinsoku/>
        <w:wordWrap/>
        <w:overflowPunct/>
        <w:topLinePunct w:val="0"/>
        <w:bidi w:val="0"/>
        <w:snapToGrid/>
        <w:spacing w:line="420" w:lineRule="exact"/>
        <w:ind w:firstLine="562" w:firstLineChars="200"/>
        <w:jc w:val="left"/>
        <w:textAlignment w:val="auto"/>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第六条：违约责任</w:t>
      </w:r>
    </w:p>
    <w:p w14:paraId="22AA5E54">
      <w:pPr>
        <w:keepNext w:val="0"/>
        <w:keepLines w:val="0"/>
        <w:pageBreakBefore w:val="0"/>
        <w:numPr>
          <w:ilvl w:val="0"/>
          <w:numId w:val="0"/>
        </w:numPr>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租赁期间严禁乙方擅自终止</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承包</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转包</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分包</w:t>
      </w:r>
      <w:r>
        <w:rPr>
          <w:rFonts w:hint="eastAsia" w:ascii="仿宋_GB2312" w:hAnsi="仿宋_GB2312" w:eastAsia="仿宋_GB2312" w:cs="仿宋_GB2312"/>
          <w:color w:val="000000" w:themeColor="text1"/>
          <w:sz w:val="28"/>
          <w:szCs w:val="28"/>
          <w:highlight w:val="none"/>
          <w14:textFill>
            <w14:solidFill>
              <w14:schemeClr w14:val="tx1"/>
            </w14:solidFill>
          </w14:textFill>
        </w:rPr>
        <w:t>，否则视为乙方违约，应向甲方支付</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协议</w:t>
      </w:r>
      <w:r>
        <w:rPr>
          <w:rFonts w:hint="eastAsia" w:ascii="仿宋_GB2312" w:hAnsi="仿宋_GB2312" w:eastAsia="仿宋_GB2312" w:cs="仿宋_GB2312"/>
          <w:color w:val="000000" w:themeColor="text1"/>
          <w:sz w:val="28"/>
          <w:szCs w:val="28"/>
          <w:highlight w:val="none"/>
          <w14:textFill>
            <w14:solidFill>
              <w14:schemeClr w14:val="tx1"/>
            </w14:solidFill>
          </w14:textFill>
        </w:rPr>
        <w:t>总价款15%的违约金，且甲方有权单方解除</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协议</w:t>
      </w:r>
      <w:r>
        <w:rPr>
          <w:rFonts w:hint="eastAsia" w:ascii="仿宋_GB2312" w:hAnsi="仿宋_GB2312" w:eastAsia="仿宋_GB2312" w:cs="仿宋_GB2312"/>
          <w:color w:val="000000" w:themeColor="text1"/>
          <w:sz w:val="28"/>
          <w:szCs w:val="28"/>
          <w:highlight w:val="none"/>
          <w14:textFill>
            <w14:solidFill>
              <w14:schemeClr w14:val="tx1"/>
            </w14:solidFill>
          </w14:textFill>
        </w:rPr>
        <w:t>，已收取</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承包款</w:t>
      </w:r>
      <w:r>
        <w:rPr>
          <w:rFonts w:hint="eastAsia" w:ascii="仿宋_GB2312" w:hAnsi="仿宋_GB2312" w:eastAsia="仿宋_GB2312" w:cs="仿宋_GB2312"/>
          <w:color w:val="000000" w:themeColor="text1"/>
          <w:sz w:val="28"/>
          <w:szCs w:val="28"/>
          <w:highlight w:val="none"/>
          <w14:textFill>
            <w14:solidFill>
              <w14:schemeClr w14:val="tx1"/>
            </w14:solidFill>
          </w14:textFill>
        </w:rPr>
        <w:t>不予退还。</w:t>
      </w:r>
    </w:p>
    <w:p w14:paraId="7CF16FFD">
      <w:pPr>
        <w:keepNext w:val="0"/>
        <w:keepLines w:val="0"/>
        <w:pageBreakBefore w:val="0"/>
        <w:numPr>
          <w:ilvl w:val="0"/>
          <w:numId w:val="0"/>
        </w:numPr>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租赁期间，任何一方无正当理由单方面解除</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协议</w:t>
      </w:r>
      <w:r>
        <w:rPr>
          <w:rFonts w:hint="eastAsia" w:ascii="仿宋_GB2312" w:hAnsi="仿宋_GB2312" w:eastAsia="仿宋_GB2312" w:cs="仿宋_GB2312"/>
          <w:color w:val="000000" w:themeColor="text1"/>
          <w:sz w:val="28"/>
          <w:szCs w:val="28"/>
          <w:highlight w:val="none"/>
          <w14:textFill>
            <w14:solidFill>
              <w14:schemeClr w14:val="tx1"/>
            </w14:solidFill>
          </w14:textFill>
        </w:rPr>
        <w:t>的，视为违约行为，违约方应赔偿因此给守约方造成的直接损失。如乙方因特殊原因或正当理由提前解除</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协议</w:t>
      </w:r>
      <w:r>
        <w:rPr>
          <w:rFonts w:hint="eastAsia" w:ascii="仿宋_GB2312" w:hAnsi="仿宋_GB2312" w:eastAsia="仿宋_GB2312" w:cs="仿宋_GB2312"/>
          <w:color w:val="000000" w:themeColor="text1"/>
          <w:sz w:val="28"/>
          <w:szCs w:val="28"/>
          <w:highlight w:val="none"/>
          <w14:textFill>
            <w14:solidFill>
              <w14:schemeClr w14:val="tx1"/>
            </w14:solidFill>
          </w14:textFill>
        </w:rPr>
        <w:t>的，已缴纳的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承包款</w:t>
      </w:r>
      <w:r>
        <w:rPr>
          <w:rFonts w:hint="eastAsia" w:ascii="仿宋_GB2312" w:hAnsi="仿宋_GB2312" w:eastAsia="仿宋_GB2312" w:cs="仿宋_GB2312"/>
          <w:color w:val="000000" w:themeColor="text1"/>
          <w:sz w:val="28"/>
          <w:szCs w:val="28"/>
          <w:highlight w:val="none"/>
          <w14:textFill>
            <w14:solidFill>
              <w14:schemeClr w14:val="tx1"/>
            </w14:solidFill>
          </w14:textFill>
        </w:rPr>
        <w:t>按乙方已</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承包</w:t>
      </w:r>
      <w:r>
        <w:rPr>
          <w:rFonts w:hint="eastAsia" w:ascii="仿宋_GB2312" w:hAnsi="仿宋_GB2312" w:eastAsia="仿宋_GB2312" w:cs="仿宋_GB2312"/>
          <w:color w:val="000000" w:themeColor="text1"/>
          <w:sz w:val="28"/>
          <w:szCs w:val="28"/>
          <w:highlight w:val="none"/>
          <w14:textFill>
            <w14:solidFill>
              <w14:schemeClr w14:val="tx1"/>
            </w14:solidFill>
          </w14:textFill>
        </w:rPr>
        <w:t>的日期（以整月计算，不足一个月按整月计）扣除，并且扣除履约保证金。</w:t>
      </w:r>
    </w:p>
    <w:p w14:paraId="3394063B">
      <w:pPr>
        <w:keepNext w:val="0"/>
        <w:keepLines w:val="0"/>
        <w:pageBreakBefore w:val="0"/>
        <w:numPr>
          <w:ilvl w:val="0"/>
          <w:numId w:val="0"/>
        </w:numPr>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kern w:val="2"/>
          <w:sz w:val="28"/>
          <w:szCs w:val="28"/>
          <w:highlight w:val="none"/>
          <w:lang w:val="en-US" w:eastAsia="zh-CN" w:bidi="ar-SA"/>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因乙方违约而导致甲方解除</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协议</w:t>
      </w:r>
      <w:r>
        <w:rPr>
          <w:rFonts w:hint="eastAsia" w:ascii="仿宋_GB2312" w:hAnsi="仿宋_GB2312" w:eastAsia="仿宋_GB2312" w:cs="仿宋_GB2312"/>
          <w:color w:val="000000" w:themeColor="text1"/>
          <w:sz w:val="28"/>
          <w:szCs w:val="28"/>
          <w:highlight w:val="none"/>
          <w14:textFill>
            <w14:solidFill>
              <w14:schemeClr w14:val="tx1"/>
            </w14:solidFill>
          </w14:textFill>
        </w:rPr>
        <w:t>的，已缴纳的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8"/>
          <w:szCs w:val="28"/>
          <w:highlight w:val="none"/>
          <w14:textFill>
            <w14:solidFill>
              <w14:schemeClr w14:val="tx1"/>
            </w14:solidFill>
          </w14:textFill>
        </w:rPr>
        <w:t>不予退还。</w:t>
      </w:r>
    </w:p>
    <w:p w14:paraId="5F0E549C">
      <w:pPr>
        <w:keepNext w:val="0"/>
        <w:keepLines w:val="0"/>
        <w:pageBreakBefore w:val="0"/>
        <w:numPr>
          <w:ilvl w:val="0"/>
          <w:numId w:val="0"/>
        </w:numPr>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4、乙方擅自占用园区公共区域经营，每次违约金2000元，限期清理复原。</w:t>
      </w:r>
    </w:p>
    <w:p w14:paraId="13C70991">
      <w:pPr>
        <w:keepNext w:val="0"/>
        <w:keepLines w:val="0"/>
        <w:pageBreakBefore w:val="0"/>
        <w:numPr>
          <w:ilvl w:val="0"/>
          <w:numId w:val="0"/>
        </w:numPr>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5、卫生脏乱、超时10分钟内经营、围挡缺失，单次罚款500-1000元，保证金抵扣；</w:t>
      </w:r>
    </w:p>
    <w:p w14:paraId="1216EEAC">
      <w:pPr>
        <w:keepNext w:val="0"/>
        <w:keepLines w:val="0"/>
        <w:pageBreakBefore w:val="0"/>
        <w:numPr>
          <w:ilvl w:val="0"/>
          <w:numId w:val="0"/>
        </w:numPr>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6、无证设施、噪音扰民、占道经营、安全员缺位：单次罚款2000-5000元；</w:t>
      </w:r>
    </w:p>
    <w:p w14:paraId="330FABAD">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7、乙方在经营期间因自身行为给甲方造成负面声誉影响的，导致甲方被行政处罚、舆情追责，包括但不限于网络负面报道等舆情、上级各部门各种形式的批评、通报、市长热线等，视为乙方违约，乙方应向甲方支付每次5000元的违约金，乙方全额承担罚款及维权费用。</w:t>
      </w:r>
    </w:p>
    <w:p w14:paraId="715C85FC">
      <w:pPr>
        <w:keepNext w:val="0"/>
        <w:keepLines w:val="0"/>
        <w:pageBreakBefore w:val="0"/>
        <w:numPr>
          <w:ilvl w:val="0"/>
          <w:numId w:val="0"/>
        </w:numPr>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协议</w:t>
      </w:r>
      <w:r>
        <w:rPr>
          <w:rFonts w:hint="eastAsia" w:ascii="仿宋_GB2312" w:hAnsi="仿宋_GB2312" w:eastAsia="仿宋_GB2312" w:cs="仿宋_GB2312"/>
          <w:color w:val="000000" w:themeColor="text1"/>
          <w:sz w:val="28"/>
          <w:szCs w:val="28"/>
          <w:highlight w:val="none"/>
          <w14:textFill>
            <w14:solidFill>
              <w14:schemeClr w14:val="tx1"/>
            </w14:solidFill>
          </w14:textFill>
        </w:rPr>
        <w:t>终止后，乙方应在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协议</w:t>
      </w:r>
      <w:r>
        <w:rPr>
          <w:rFonts w:hint="eastAsia" w:ascii="仿宋_GB2312" w:hAnsi="仿宋_GB2312" w:eastAsia="仿宋_GB2312" w:cs="仿宋_GB2312"/>
          <w:color w:val="000000" w:themeColor="text1"/>
          <w:sz w:val="28"/>
          <w:szCs w:val="28"/>
          <w:highlight w:val="none"/>
          <w14:textFill>
            <w14:solidFill>
              <w14:schemeClr w14:val="tx1"/>
            </w14:solidFill>
          </w14:textFill>
        </w:rPr>
        <w:t>终止之日起</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日内将</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经营</w:t>
      </w:r>
      <w:r>
        <w:rPr>
          <w:rFonts w:hint="eastAsia" w:ascii="仿宋_GB2312" w:hAnsi="仿宋_GB2312" w:eastAsia="仿宋_GB2312" w:cs="仿宋_GB2312"/>
          <w:color w:val="000000" w:themeColor="text1"/>
          <w:sz w:val="28"/>
          <w:szCs w:val="28"/>
          <w:highlight w:val="none"/>
          <w14:textFill>
            <w14:solidFill>
              <w14:schemeClr w14:val="tx1"/>
            </w14:solidFill>
          </w14:textFill>
        </w:rPr>
        <w:t>场地恢复原貌或按甲方要求进行交接。如需乙方及时清理撤除归属自己的设施及物品的，乙方应予清理撤除，未在甲方要求的时间内进行清理撤除的，视为乙方放弃其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承包场地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内的物品和设备，甲方有权自行处置。</w:t>
      </w:r>
    </w:p>
    <w:p w14:paraId="7A5BCB8E">
      <w:pPr>
        <w:keepNext w:val="0"/>
        <w:keepLines w:val="0"/>
        <w:pageBreakBefore w:val="0"/>
        <w:numPr>
          <w:ilvl w:val="0"/>
          <w:numId w:val="0"/>
        </w:numPr>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9、</w:t>
      </w:r>
      <w:r>
        <w:rPr>
          <w:rFonts w:hint="eastAsia" w:ascii="仿宋_GB2312" w:hAnsi="仿宋_GB2312" w:eastAsia="仿宋_GB2312" w:cs="仿宋_GB2312"/>
          <w:color w:val="000000" w:themeColor="text1"/>
          <w:sz w:val="28"/>
          <w:szCs w:val="28"/>
          <w:highlight w:val="none"/>
          <w14:textFill>
            <w14:solidFill>
              <w14:schemeClr w14:val="tx1"/>
            </w14:solidFill>
          </w14:textFill>
        </w:rPr>
        <w:t>上述违约金甲方有权直接自履约保证金中扣除，不足部分乙方向甲方支付。</w:t>
      </w:r>
    </w:p>
    <w:p w14:paraId="2E9D06CA">
      <w:pPr>
        <w:keepNext w:val="0"/>
        <w:keepLines w:val="0"/>
        <w:pageBreakBefore w:val="0"/>
        <w:kinsoku/>
        <w:wordWrap/>
        <w:overflowPunct/>
        <w:topLinePunct w:val="0"/>
        <w:bidi w:val="0"/>
        <w:snapToGrid/>
        <w:spacing w:line="420" w:lineRule="exact"/>
        <w:ind w:firstLine="562" w:firstLineChars="200"/>
        <w:textAlignment w:val="auto"/>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第七条：</w:t>
      </w: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协议</w:t>
      </w:r>
      <w:r>
        <w:rPr>
          <w:rFonts w:hint="eastAsia" w:ascii="仿宋_GB2312" w:hAnsi="仿宋_GB2312" w:eastAsia="仿宋_GB2312" w:cs="仿宋_GB2312"/>
          <w:b/>
          <w:color w:val="000000" w:themeColor="text1"/>
          <w:sz w:val="28"/>
          <w:szCs w:val="28"/>
          <w:highlight w:val="none"/>
          <w14:textFill>
            <w14:solidFill>
              <w14:schemeClr w14:val="tx1"/>
            </w14:solidFill>
          </w14:textFill>
        </w:rPr>
        <w:t>的解除</w:t>
      </w:r>
    </w:p>
    <w:p w14:paraId="4EBAB7F2">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乙方有下列任一违规情形，甲方无需提前告知，可直接单方解除合同、清退乙方、没收保证金，剩余租金不予退还：</w:t>
      </w:r>
    </w:p>
    <w:p w14:paraId="42C4D1B7">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发生游人安全伤亡事故、食品安全事故，拒不赔付、引发上访舆情；</w:t>
      </w:r>
    </w:p>
    <w:p w14:paraId="756BC129">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游乐设施无证运营、带病运营、拒不安全整改；</w:t>
      </w:r>
    </w:p>
    <w:p w14:paraId="0381DC7F">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堵塞消防通道、超时经营、噪音屡教不改；</w:t>
      </w:r>
    </w:p>
    <w:p w14:paraId="1DFC0B1C">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超范围明火经营、私自固定破坏广场地面；</w:t>
      </w:r>
    </w:p>
    <w:p w14:paraId="545D319D">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不支付或者不按照约定支付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预缴保底租金</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、履约保证金逾期超过30日的；</w:t>
      </w:r>
    </w:p>
    <w:p w14:paraId="72D9FBC3">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擅自转第三方经营</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分包场地、违规招商摊主；</w:t>
      </w:r>
    </w:p>
    <w:p w14:paraId="64112023">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因经营过程中出现的违法行为被政府相关部门责令停止营业的、政府相关部门责令甲方整改的。</w:t>
      </w:r>
    </w:p>
    <w:p w14:paraId="62C2BF63">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违反城管、自然资源和规划、消防、市监处罚，牵连库区被追责。</w:t>
      </w:r>
    </w:p>
    <w:p w14:paraId="0A70E858">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擅自</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改变经营权场地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经营用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途的，拓展经营项目；</w:t>
      </w:r>
    </w:p>
    <w:p w14:paraId="11F4B472">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超范围经营（无甲方允许私自引入特种设备、大型游乐设施等）、露天明火烧烤、违规搭建构筑物；</w:t>
      </w:r>
    </w:p>
    <w:p w14:paraId="59D02663">
      <w:pPr>
        <w:pStyle w:val="4"/>
        <w:keepNext w:val="0"/>
        <w:keepLines w:val="0"/>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2、甲方有下列情形之一的，乙方有权单方解除</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协议</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215D7B1C">
      <w:pPr>
        <w:pStyle w:val="4"/>
        <w:keepNext w:val="0"/>
        <w:keepLines w:val="0"/>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未按约定时间交付该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经营权运营场地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达30日的；</w:t>
      </w:r>
    </w:p>
    <w:p w14:paraId="6EE8858D">
      <w:pPr>
        <w:keepNext w:val="0"/>
        <w:keepLines w:val="0"/>
        <w:pageBreakBefore w:val="0"/>
        <w:kinsoku/>
        <w:wordWrap/>
        <w:overflowPunct/>
        <w:topLinePunct w:val="0"/>
        <w:bidi w:val="0"/>
        <w:snapToGrid/>
        <w:spacing w:line="420" w:lineRule="exact"/>
        <w:ind w:firstLine="562" w:firstLineChars="200"/>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第八条：不可抗力因素</w:t>
      </w:r>
    </w:p>
    <w:p w14:paraId="69585952">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协议</w:t>
      </w:r>
      <w:r>
        <w:rPr>
          <w:rFonts w:hint="eastAsia" w:ascii="仿宋_GB2312" w:hAnsi="仿宋_GB2312" w:eastAsia="仿宋_GB2312" w:cs="仿宋_GB2312"/>
          <w:color w:val="000000" w:themeColor="text1"/>
          <w:sz w:val="28"/>
          <w:szCs w:val="28"/>
          <w:highlight w:val="none"/>
          <w14:textFill>
            <w14:solidFill>
              <w14:schemeClr w14:val="tx1"/>
            </w14:solidFill>
          </w14:textFill>
        </w:rPr>
        <w:t>履行期间因不可抗力（含各级政府和行业部门的行为及政策变化）导致</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协议</w:t>
      </w:r>
      <w:r>
        <w:rPr>
          <w:rFonts w:hint="eastAsia" w:ascii="仿宋_GB2312" w:hAnsi="仿宋_GB2312" w:eastAsia="仿宋_GB2312" w:cs="仿宋_GB2312"/>
          <w:color w:val="000000" w:themeColor="text1"/>
          <w:sz w:val="28"/>
          <w:szCs w:val="28"/>
          <w:highlight w:val="none"/>
          <w14:textFill>
            <w14:solidFill>
              <w14:schemeClr w14:val="tx1"/>
            </w14:solidFill>
          </w14:textFill>
        </w:rPr>
        <w:t>不能履行或不能完全履行的，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协议</w:t>
      </w:r>
      <w:r>
        <w:rPr>
          <w:rFonts w:hint="eastAsia" w:ascii="仿宋_GB2312" w:hAnsi="仿宋_GB2312" w:eastAsia="仿宋_GB2312" w:cs="仿宋_GB2312"/>
          <w:color w:val="000000" w:themeColor="text1"/>
          <w:sz w:val="28"/>
          <w:szCs w:val="28"/>
          <w:highlight w:val="none"/>
          <w14:textFill>
            <w14:solidFill>
              <w14:schemeClr w14:val="tx1"/>
            </w14:solidFill>
          </w14:textFill>
        </w:rPr>
        <w:t>各方均不承担违约责任。</w:t>
      </w:r>
    </w:p>
    <w:p w14:paraId="7D679C97">
      <w:pPr>
        <w:keepNext w:val="0"/>
        <w:keepLines w:val="0"/>
        <w:pageBreakBefore w:val="0"/>
        <w:kinsoku/>
        <w:wordWrap/>
        <w:overflowPunct/>
        <w:topLinePunct w:val="0"/>
        <w:bidi w:val="0"/>
        <w:snapToGrid/>
        <w:spacing w:line="420" w:lineRule="exact"/>
        <w:ind w:firstLine="562" w:firstLineChars="200"/>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第九条：争议解决方式</w:t>
      </w:r>
    </w:p>
    <w:p w14:paraId="0AEF4C16">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双方因本</w:t>
      </w:r>
      <w:r>
        <w:rPr>
          <w:rFonts w:hint="eastAsia" w:ascii="仿宋_GB2312" w:hAnsi="仿宋_GB2312" w:eastAsia="仿宋_GB2312" w:cs="仿宋_GB2312"/>
          <w:sz w:val="28"/>
          <w:szCs w:val="28"/>
          <w:highlight w:val="none"/>
          <w:lang w:eastAsia="zh-CN"/>
        </w:rPr>
        <w:t>协议</w:t>
      </w:r>
      <w:r>
        <w:rPr>
          <w:rFonts w:hint="eastAsia" w:ascii="仿宋_GB2312" w:hAnsi="仿宋_GB2312" w:eastAsia="仿宋_GB2312" w:cs="仿宋_GB2312"/>
          <w:sz w:val="28"/>
          <w:szCs w:val="28"/>
          <w:highlight w:val="none"/>
        </w:rPr>
        <w:t>的履行或与本</w:t>
      </w:r>
      <w:r>
        <w:rPr>
          <w:rFonts w:hint="eastAsia" w:ascii="仿宋_GB2312" w:hAnsi="仿宋_GB2312" w:eastAsia="仿宋_GB2312" w:cs="仿宋_GB2312"/>
          <w:sz w:val="28"/>
          <w:szCs w:val="28"/>
          <w:highlight w:val="none"/>
          <w:lang w:eastAsia="zh-CN"/>
        </w:rPr>
        <w:t>协议</w:t>
      </w:r>
      <w:r>
        <w:rPr>
          <w:rFonts w:hint="eastAsia" w:ascii="仿宋_GB2312" w:hAnsi="仿宋_GB2312" w:eastAsia="仿宋_GB2312" w:cs="仿宋_GB2312"/>
          <w:sz w:val="28"/>
          <w:szCs w:val="28"/>
          <w:highlight w:val="none"/>
        </w:rPr>
        <w:t>有关的其他事项而发生的争议，应由双方友好协商解决。如协商不成或不愿协商，则任何一方有权将争议提交甲方所在地人民法院解决。</w:t>
      </w:r>
    </w:p>
    <w:p w14:paraId="1946ABF4">
      <w:pPr>
        <w:keepNext w:val="0"/>
        <w:keepLines w:val="0"/>
        <w:pageBreakBefore w:val="0"/>
        <w:kinsoku/>
        <w:wordWrap/>
        <w:overflowPunct/>
        <w:topLinePunct w:val="0"/>
        <w:bidi w:val="0"/>
        <w:snapToGrid/>
        <w:spacing w:line="420" w:lineRule="exact"/>
        <w:ind w:firstLine="562" w:firstLineChars="200"/>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第十条：附则</w:t>
      </w:r>
    </w:p>
    <w:p w14:paraId="473F7FD0">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color w:val="FF0000"/>
          <w:sz w:val="28"/>
          <w:szCs w:val="28"/>
          <w:highlight w:val="none"/>
        </w:rPr>
      </w:pPr>
      <w:r>
        <w:rPr>
          <w:rFonts w:hint="eastAsia" w:ascii="仿宋_GB2312" w:hAnsi="仿宋_GB2312" w:eastAsia="仿宋_GB2312" w:cs="仿宋_GB2312"/>
          <w:sz w:val="28"/>
          <w:szCs w:val="28"/>
          <w:highlight w:val="none"/>
        </w:rPr>
        <w:t>1、本</w:t>
      </w:r>
      <w:r>
        <w:rPr>
          <w:rFonts w:hint="eastAsia" w:ascii="仿宋_GB2312" w:hAnsi="仿宋_GB2312" w:eastAsia="仿宋_GB2312" w:cs="仿宋_GB2312"/>
          <w:sz w:val="28"/>
          <w:szCs w:val="28"/>
          <w:highlight w:val="none"/>
          <w:lang w:eastAsia="zh-CN"/>
        </w:rPr>
        <w:t>协议</w:t>
      </w:r>
      <w:r>
        <w:rPr>
          <w:rFonts w:hint="eastAsia" w:ascii="仿宋_GB2312" w:hAnsi="仿宋_GB2312" w:eastAsia="仿宋_GB2312" w:cs="仿宋_GB2312"/>
          <w:sz w:val="28"/>
          <w:szCs w:val="28"/>
          <w:highlight w:val="none"/>
        </w:rPr>
        <w:t>自双方法定代表人或授权代表签字或盖章并加盖公章之日起生效。本</w:t>
      </w:r>
      <w:r>
        <w:rPr>
          <w:rFonts w:hint="eastAsia" w:ascii="仿宋_GB2312" w:hAnsi="仿宋_GB2312" w:eastAsia="仿宋_GB2312" w:cs="仿宋_GB2312"/>
          <w:sz w:val="28"/>
          <w:szCs w:val="28"/>
          <w:highlight w:val="none"/>
          <w:lang w:eastAsia="zh-CN"/>
        </w:rPr>
        <w:t>协议</w:t>
      </w:r>
      <w:r>
        <w:rPr>
          <w:rFonts w:hint="eastAsia" w:ascii="仿宋_GB2312" w:hAnsi="仿宋_GB2312" w:eastAsia="仿宋_GB2312" w:cs="仿宋_GB2312"/>
          <w:sz w:val="28"/>
          <w:szCs w:val="28"/>
          <w:highlight w:val="none"/>
        </w:rPr>
        <w:t>一式</w:t>
      </w:r>
      <w:r>
        <w:rPr>
          <w:rFonts w:hint="eastAsia" w:ascii="仿宋_GB2312" w:hAnsi="仿宋_GB2312" w:eastAsia="仿宋_GB2312" w:cs="仿宋_GB2312"/>
          <w:sz w:val="28"/>
          <w:szCs w:val="28"/>
          <w:highlight w:val="none"/>
          <w:u w:val="single"/>
          <w:lang w:val="en-US" w:eastAsia="zh-CN"/>
        </w:rPr>
        <w:t>陆</w:t>
      </w:r>
      <w:r>
        <w:rPr>
          <w:rFonts w:hint="eastAsia" w:ascii="仿宋_GB2312" w:hAnsi="仿宋_GB2312" w:eastAsia="仿宋_GB2312" w:cs="仿宋_GB2312"/>
          <w:sz w:val="28"/>
          <w:szCs w:val="28"/>
          <w:highlight w:val="none"/>
        </w:rPr>
        <w:t>份，甲方执</w:t>
      </w:r>
      <w:r>
        <w:rPr>
          <w:rFonts w:hint="eastAsia" w:ascii="仿宋_GB2312" w:hAnsi="仿宋_GB2312" w:eastAsia="仿宋_GB2312" w:cs="仿宋_GB2312"/>
          <w:sz w:val="28"/>
          <w:szCs w:val="28"/>
          <w:highlight w:val="none"/>
          <w:u w:val="single"/>
          <w:lang w:val="en-US" w:eastAsia="zh-CN"/>
        </w:rPr>
        <w:t>肆</w:t>
      </w:r>
      <w:r>
        <w:rPr>
          <w:rFonts w:hint="eastAsia" w:ascii="仿宋_GB2312" w:hAnsi="仿宋_GB2312" w:eastAsia="仿宋_GB2312" w:cs="仿宋_GB2312"/>
          <w:sz w:val="28"/>
          <w:szCs w:val="28"/>
          <w:highlight w:val="none"/>
        </w:rPr>
        <w:t>份，乙方执</w:t>
      </w:r>
      <w:r>
        <w:rPr>
          <w:rFonts w:hint="eastAsia" w:ascii="仿宋_GB2312" w:hAnsi="仿宋_GB2312" w:eastAsia="仿宋_GB2312" w:cs="仿宋_GB2312"/>
          <w:sz w:val="28"/>
          <w:szCs w:val="28"/>
          <w:highlight w:val="none"/>
          <w:lang w:val="en-US" w:eastAsia="zh-CN"/>
        </w:rPr>
        <w:t>贰</w:t>
      </w:r>
      <w:r>
        <w:rPr>
          <w:rFonts w:hint="eastAsia" w:ascii="仿宋_GB2312" w:hAnsi="仿宋_GB2312" w:eastAsia="仿宋_GB2312" w:cs="仿宋_GB2312"/>
          <w:sz w:val="28"/>
          <w:szCs w:val="28"/>
          <w:highlight w:val="none"/>
        </w:rPr>
        <w:t>份，具有同等的法律效力。</w:t>
      </w:r>
    </w:p>
    <w:p w14:paraId="1780F18E">
      <w:pPr>
        <w:keepNext w:val="0"/>
        <w:keepLines w:val="0"/>
        <w:pageBreakBefore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2、双方对</w:t>
      </w:r>
      <w:r>
        <w:rPr>
          <w:rFonts w:hint="eastAsia" w:ascii="仿宋_GB2312" w:hAnsi="仿宋_GB2312" w:eastAsia="仿宋_GB2312" w:cs="仿宋_GB2312"/>
          <w:sz w:val="28"/>
          <w:szCs w:val="28"/>
          <w:highlight w:val="none"/>
          <w:lang w:eastAsia="zh-CN"/>
        </w:rPr>
        <w:t>协议</w:t>
      </w:r>
      <w:r>
        <w:rPr>
          <w:rFonts w:hint="eastAsia" w:ascii="仿宋_GB2312" w:hAnsi="仿宋_GB2312" w:eastAsia="仿宋_GB2312" w:cs="仿宋_GB2312"/>
          <w:sz w:val="28"/>
          <w:szCs w:val="28"/>
          <w:highlight w:val="none"/>
        </w:rPr>
        <w:t>内容的变更或补充应采用书面形式，并由双方签字盖章作为</w:t>
      </w:r>
      <w:r>
        <w:rPr>
          <w:rFonts w:hint="eastAsia" w:ascii="仿宋_GB2312" w:hAnsi="仿宋_GB2312" w:eastAsia="仿宋_GB2312" w:cs="仿宋_GB2312"/>
          <w:sz w:val="28"/>
          <w:szCs w:val="28"/>
          <w:highlight w:val="none"/>
          <w:lang w:eastAsia="zh-CN"/>
        </w:rPr>
        <w:t>协议</w:t>
      </w:r>
      <w:r>
        <w:rPr>
          <w:rFonts w:hint="eastAsia" w:ascii="仿宋_GB2312" w:hAnsi="仿宋_GB2312" w:eastAsia="仿宋_GB2312" w:cs="仿宋_GB2312"/>
          <w:sz w:val="28"/>
          <w:szCs w:val="28"/>
          <w:highlight w:val="none"/>
        </w:rPr>
        <w:t>附件，附件与本</w:t>
      </w:r>
      <w:r>
        <w:rPr>
          <w:rFonts w:hint="eastAsia" w:ascii="仿宋_GB2312" w:hAnsi="仿宋_GB2312" w:eastAsia="仿宋_GB2312" w:cs="仿宋_GB2312"/>
          <w:sz w:val="28"/>
          <w:szCs w:val="28"/>
          <w:highlight w:val="none"/>
          <w:lang w:eastAsia="zh-CN"/>
        </w:rPr>
        <w:t>协议</w:t>
      </w:r>
      <w:r>
        <w:rPr>
          <w:rFonts w:hint="eastAsia" w:ascii="仿宋_GB2312" w:hAnsi="仿宋_GB2312" w:eastAsia="仿宋_GB2312" w:cs="仿宋_GB2312"/>
          <w:sz w:val="28"/>
          <w:szCs w:val="28"/>
          <w:highlight w:val="none"/>
        </w:rPr>
        <w:t>具有同等的法律效力。</w:t>
      </w:r>
    </w:p>
    <w:p w14:paraId="2C2D9169">
      <w:pPr>
        <w:keepNext w:val="0"/>
        <w:keepLines w:val="0"/>
        <w:pageBreakBefore w:val="0"/>
        <w:kinsoku/>
        <w:wordWrap/>
        <w:overflowPunct/>
        <w:topLinePunct w:val="0"/>
        <w:bidi w:val="0"/>
        <w:snapToGrid/>
        <w:spacing w:line="420" w:lineRule="exact"/>
        <w:jc w:val="left"/>
        <w:textAlignment w:val="auto"/>
        <w:rPr>
          <w:rFonts w:hint="eastAsia" w:ascii="仿宋_GB2312" w:hAnsi="仿宋_GB2312" w:eastAsia="仿宋_GB2312" w:cs="仿宋_GB2312"/>
          <w:color w:val="000000"/>
          <w:kern w:val="0"/>
          <w:sz w:val="28"/>
          <w:szCs w:val="28"/>
          <w:highlight w:val="none"/>
        </w:rPr>
      </w:pPr>
    </w:p>
    <w:p w14:paraId="603A1E7F">
      <w:pPr>
        <w:keepNext w:val="0"/>
        <w:keepLines w:val="0"/>
        <w:pageBreakBefore w:val="0"/>
        <w:kinsoku/>
        <w:wordWrap/>
        <w:overflowPunct/>
        <w:topLinePunct w:val="0"/>
        <w:bidi w:val="0"/>
        <w:snapToGrid/>
        <w:spacing w:line="420" w:lineRule="exact"/>
        <w:jc w:val="left"/>
        <w:textAlignment w:val="auto"/>
        <w:rPr>
          <w:rFonts w:hint="eastAsia" w:ascii="仿宋_GB2312" w:hAnsi="仿宋_GB2312" w:eastAsia="仿宋_GB2312" w:cs="仿宋_GB2312"/>
          <w:color w:val="000000"/>
          <w:kern w:val="0"/>
          <w:sz w:val="28"/>
          <w:szCs w:val="28"/>
          <w:highlight w:val="none"/>
        </w:rPr>
      </w:pPr>
    </w:p>
    <w:p w14:paraId="6B302649">
      <w:pPr>
        <w:keepNext w:val="0"/>
        <w:keepLines w:val="0"/>
        <w:pageBreakBefore w:val="0"/>
        <w:kinsoku/>
        <w:wordWrap/>
        <w:overflowPunct/>
        <w:topLinePunct w:val="0"/>
        <w:bidi w:val="0"/>
        <w:snapToGrid/>
        <w:spacing w:line="420" w:lineRule="exact"/>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    （盖章）             乙方：     （盖章</w:t>
      </w:r>
      <w:r>
        <w:rPr>
          <w:rFonts w:hint="eastAsia" w:ascii="仿宋_GB2312" w:hAnsi="仿宋_GB2312" w:eastAsia="仿宋_GB2312" w:cs="仿宋_GB2312"/>
          <w:sz w:val="28"/>
          <w:szCs w:val="28"/>
          <w:highlight w:val="none"/>
          <w:lang w:val="en-US" w:eastAsia="zh-CN"/>
        </w:rPr>
        <w:t>或签字</w:t>
      </w:r>
      <w:r>
        <w:rPr>
          <w:rFonts w:hint="eastAsia" w:ascii="仿宋_GB2312" w:hAnsi="仿宋_GB2312" w:eastAsia="仿宋_GB2312" w:cs="仿宋_GB2312"/>
          <w:sz w:val="28"/>
          <w:szCs w:val="28"/>
          <w:highlight w:val="none"/>
        </w:rPr>
        <w:t>）</w:t>
      </w:r>
    </w:p>
    <w:p w14:paraId="0AD8C4B0">
      <w:pPr>
        <w:keepNext w:val="0"/>
        <w:keepLines w:val="0"/>
        <w:pageBreakBefore w:val="0"/>
        <w:kinsoku/>
        <w:wordWrap/>
        <w:overflowPunct/>
        <w:topLinePunct w:val="0"/>
        <w:bidi w:val="0"/>
        <w:snapToGrid/>
        <w:spacing w:line="420" w:lineRule="exact"/>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法定代表人或                   法定代表人或 </w:t>
      </w:r>
    </w:p>
    <w:p w14:paraId="0ED29600">
      <w:pPr>
        <w:keepNext w:val="0"/>
        <w:keepLines w:val="0"/>
        <w:pageBreakBefore w:val="0"/>
        <w:kinsoku/>
        <w:wordWrap/>
        <w:overflowPunct/>
        <w:topLinePunct w:val="0"/>
        <w:bidi w:val="0"/>
        <w:snapToGrid/>
        <w:spacing w:line="420" w:lineRule="exact"/>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委托代理人：（签字）           委托代理人：（签字）</w:t>
      </w:r>
    </w:p>
    <w:p w14:paraId="65103D54">
      <w:pPr>
        <w:keepNext w:val="0"/>
        <w:keepLines w:val="0"/>
        <w:pageBreakBefore w:val="0"/>
        <w:kinsoku/>
        <w:wordWrap/>
        <w:overflowPunct/>
        <w:topLinePunct w:val="0"/>
        <w:bidi w:val="0"/>
        <w:snapToGrid/>
        <w:spacing w:line="420" w:lineRule="exact"/>
        <w:ind w:firstLine="3920" w:firstLineChars="1400"/>
        <w:jc w:val="left"/>
        <w:textAlignment w:val="auto"/>
        <w:rPr>
          <w:rFonts w:hint="eastAsia" w:ascii="仿宋_GB2312" w:hAnsi="仿宋_GB2312" w:eastAsia="仿宋_GB2312" w:cs="仿宋_GB2312"/>
          <w:sz w:val="28"/>
          <w:szCs w:val="28"/>
          <w:highlight w:val="none"/>
        </w:rPr>
      </w:pPr>
    </w:p>
    <w:p w14:paraId="5E560DA7">
      <w:pPr>
        <w:keepNext w:val="0"/>
        <w:keepLines w:val="0"/>
        <w:pageBreakBefore w:val="0"/>
        <w:kinsoku/>
        <w:wordWrap/>
        <w:overflowPunct/>
        <w:topLinePunct w:val="0"/>
        <w:bidi w:val="0"/>
        <w:snapToGrid/>
        <w:spacing w:line="420" w:lineRule="exact"/>
        <w:ind w:firstLine="3920" w:firstLineChars="14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 xml:space="preserve">签订日期：    年   月 </w:t>
      </w:r>
      <w:r>
        <w:rPr>
          <w:rFonts w:hint="eastAsia" w:ascii="仿宋_GB2312" w:hAnsi="仿宋_GB2312" w:eastAsia="仿宋_GB2312" w:cs="仿宋_GB2312"/>
          <w:sz w:val="28"/>
          <w:szCs w:val="28"/>
          <w:highlight w:val="none"/>
          <w:lang w:val="en-US" w:eastAsia="zh-CN"/>
        </w:rPr>
        <w:t xml:space="preserve"> 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_GBK">
    <w:panose1 w:val="02000000000000000000"/>
    <w:charset w:val="86"/>
    <w:family w:val="auto"/>
    <w:pitch w:val="default"/>
    <w:sig w:usb0="A00002BF" w:usb1="08CF7CFA"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1" w:fontKey="{799E14C0-20B7-4612-AC6E-CCBD6FE94C40}"/>
  </w:font>
  <w:font w:name="WPSEMBED2">
    <w:panose1 w:val="02000000000000000000"/>
    <w:charset w:val="86"/>
    <w:family w:val="auto"/>
    <w:pitch w:val="default"/>
    <w:sig w:usb0="A00002BF" w:usb1="08CF7CFA"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428E6"/>
    <w:multiLevelType w:val="singleLevel"/>
    <w:tmpl w:val="F75428E6"/>
    <w:lvl w:ilvl="0" w:tentative="0">
      <w:start w:val="1"/>
      <w:numFmt w:val="decimal"/>
      <w:suff w:val="nothing"/>
      <w:lvlText w:val="%1、"/>
      <w:lvlJc w:val="left"/>
    </w:lvl>
  </w:abstractNum>
  <w:abstractNum w:abstractNumId="1">
    <w:nsid w:val="09D4BE66"/>
    <w:multiLevelType w:val="singleLevel"/>
    <w:tmpl w:val="09D4BE66"/>
    <w:lvl w:ilvl="0" w:tentative="0">
      <w:start w:val="1"/>
      <w:numFmt w:val="decimal"/>
      <w:suff w:val="nothing"/>
      <w:lvlText w:val="%1、"/>
      <w:lvlJc w:val="left"/>
    </w:lvl>
  </w:abstractNum>
  <w:abstractNum w:abstractNumId="2">
    <w:nsid w:val="76360215"/>
    <w:multiLevelType w:val="singleLevel"/>
    <w:tmpl w:val="76360215"/>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14AE4"/>
    <w:rsid w:val="01EC3436"/>
    <w:rsid w:val="02022666"/>
    <w:rsid w:val="07B81938"/>
    <w:rsid w:val="08AB4B1F"/>
    <w:rsid w:val="0A013EA1"/>
    <w:rsid w:val="0ABF7351"/>
    <w:rsid w:val="0AEB17FA"/>
    <w:rsid w:val="0CCA74C4"/>
    <w:rsid w:val="11702AF8"/>
    <w:rsid w:val="16AE5750"/>
    <w:rsid w:val="1BC66679"/>
    <w:rsid w:val="1F49071C"/>
    <w:rsid w:val="27134BF4"/>
    <w:rsid w:val="2B697AF9"/>
    <w:rsid w:val="2B8C6E50"/>
    <w:rsid w:val="2C526E62"/>
    <w:rsid w:val="2D8D5C78"/>
    <w:rsid w:val="30EE4C7F"/>
    <w:rsid w:val="31377332"/>
    <w:rsid w:val="31E22A36"/>
    <w:rsid w:val="326B6126"/>
    <w:rsid w:val="33144E8D"/>
    <w:rsid w:val="34FA0BAE"/>
    <w:rsid w:val="39BF3DB3"/>
    <w:rsid w:val="3AA34186"/>
    <w:rsid w:val="3CB4617B"/>
    <w:rsid w:val="3D6C3AFB"/>
    <w:rsid w:val="3E2C3283"/>
    <w:rsid w:val="40F831AD"/>
    <w:rsid w:val="44A4522B"/>
    <w:rsid w:val="49DF7638"/>
    <w:rsid w:val="4C854292"/>
    <w:rsid w:val="51BA5383"/>
    <w:rsid w:val="532A6DFE"/>
    <w:rsid w:val="53E24532"/>
    <w:rsid w:val="55397D5C"/>
    <w:rsid w:val="58C91339"/>
    <w:rsid w:val="59D625D1"/>
    <w:rsid w:val="5AAA72D0"/>
    <w:rsid w:val="5AE944C2"/>
    <w:rsid w:val="5C9A677B"/>
    <w:rsid w:val="5F591753"/>
    <w:rsid w:val="6DA14AE4"/>
    <w:rsid w:val="6DBD193A"/>
    <w:rsid w:val="70980EDC"/>
    <w:rsid w:val="71877260"/>
    <w:rsid w:val="743564D9"/>
    <w:rsid w:val="74996F8E"/>
    <w:rsid w:val="75EF5689"/>
    <w:rsid w:val="762D4575"/>
    <w:rsid w:val="767B5247"/>
    <w:rsid w:val="776C2CCB"/>
    <w:rsid w:val="7C0A38BD"/>
    <w:rsid w:val="7DA95783"/>
    <w:rsid w:val="7E1E6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99"/>
    <w:pPr>
      <w:spacing w:after="120"/>
    </w:pPr>
  </w:style>
  <w:style w:type="paragraph" w:styleId="6">
    <w:name w:val="Plain Text"/>
    <w:basedOn w:val="1"/>
    <w:next w:val="5"/>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18"/>
    </w:rPr>
  </w:style>
  <w:style w:type="paragraph" w:customStyle="1" w:styleId="10">
    <w:name w:val="Default"/>
    <w:basedOn w:val="6"/>
    <w:qFormat/>
    <w:uiPriority w:val="99"/>
    <w:pPr>
      <w:autoSpaceDE w:val="0"/>
      <w:autoSpaceDN w:val="0"/>
      <w:adjustRightInd w:val="0"/>
    </w:pPr>
    <w:rPr>
      <w:rFonts w:hAnsi="Calibri" w:eastAsia="宋体" w:cs="宋体"/>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1128</Words>
  <Characters>1132</Characters>
  <Lines>0</Lines>
  <Paragraphs>0</Paragraphs>
  <TotalTime>7</TotalTime>
  <ScaleCrop>false</ScaleCrop>
  <LinksUpToDate>false</LinksUpToDate>
  <CharactersWithSpaces>1157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2025-07-08T08:20:00Z</dcterms:created>
  <dc:creator>孙中梁</dc:creator>
  <cp:lastModifiedBy>郭念東</cp:lastModifiedBy>
  <dcterms:modified xsi:type="dcterms:W3CDTF">2026-07-06T01:28:54Z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84B40673AE4B44779209256316A8E361_13</vt:lpwstr>
  </property>
  <property fmtid="{D5CDD505-2E9C-101B-9397-08002B2CF9AE}" pid="4" name="KSOTemplateDocerSaveRecord">
    <vt:lpwstr>eyJoZGlkIjoiNzliYWNkOGZmODQwMTYxNzM1OTEwOWMxMzY5NDI3Y2UiLCJ1c2VySWQiOiI3NTUxNjg5NzEifQ==</vt:lpwstr>
  </property>
</Properties>
</file>