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水稻乡张湾社区党群服务中心招标工程量清单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编制说明</w:t>
      </w:r>
    </w:p>
    <w:p>
      <w:pPr>
        <w:adjustRightInd w:val="0"/>
        <w:snapToGrid w:val="0"/>
        <w:spacing w:line="432" w:lineRule="auto"/>
        <w:ind w:left="1" w:firstLine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一、工程概况</w:t>
      </w:r>
    </w:p>
    <w:p>
      <w:pPr>
        <w:snapToGrid w:val="0"/>
        <w:spacing w:line="360" w:lineRule="auto"/>
        <w:ind w:firstLine="560" w:firstLineChars="200"/>
        <w:jc w:val="both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本工程为水稻乡张湾社区党群服务中心，位于水稻乡，该工程为地上二层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，一层为会议室、办公室、大厅，二层为会议室、休息室、办公室，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工程范围包括主体、装饰装修、安装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。</w:t>
      </w:r>
    </w:p>
    <w:p>
      <w:pPr>
        <w:adjustRightInd w:val="0"/>
        <w:snapToGrid w:val="0"/>
        <w:spacing w:line="432" w:lineRule="auto"/>
        <w:ind w:left="1" w:firstLine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二、编制范围</w:t>
      </w:r>
    </w:p>
    <w:p>
      <w:pPr>
        <w:adjustRightInd w:val="0"/>
        <w:snapToGrid w:val="0"/>
        <w:spacing w:line="432" w:lineRule="auto"/>
        <w:ind w:left="1"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本次编制范围为包</w:t>
      </w:r>
      <w:r>
        <w:rPr>
          <w:rFonts w:hint="eastAsia" w:ascii="仿宋_GB2312" w:hAnsi="仿宋_GB2312" w:eastAsia="仿宋_GB2312" w:cs="仿宋_GB2312"/>
          <w:sz w:val="28"/>
          <w:szCs w:val="28"/>
        </w:rPr>
        <w:t>含本项目招标文件及施工图纸范围内的全部施工内容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adjustRightInd w:val="0"/>
        <w:snapToGrid w:val="0"/>
        <w:spacing w:line="432" w:lineRule="auto"/>
        <w:ind w:left="1" w:firstLine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三、编制依据</w:t>
      </w:r>
    </w:p>
    <w:p>
      <w:pPr>
        <w:adjustRightInd w:val="0"/>
        <w:snapToGrid w:val="0"/>
        <w:spacing w:line="432" w:lineRule="auto"/>
        <w:ind w:left="-10" w:leftChars="-5" w:firstLine="562" w:firstLineChars="201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Times New Roman"/>
          <w:bCs/>
          <w:sz w:val="28"/>
          <w:szCs w:val="28"/>
        </w:rPr>
        <w:t>《建设工程工程量清单计价规范》（GB50500-2013）。</w:t>
      </w:r>
    </w:p>
    <w:p>
      <w:pPr>
        <w:adjustRightInd w:val="0"/>
        <w:snapToGrid w:val="0"/>
        <w:spacing w:line="432" w:lineRule="auto"/>
        <w:ind w:left="-10" w:leftChars="-5" w:firstLine="562" w:firstLineChars="201"/>
        <w:rPr>
          <w:rFonts w:hint="eastAsia" w:ascii="仿宋" w:hAnsi="仿宋" w:eastAsia="仿宋" w:cs="Times New Roman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bCs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/>
          <w:bCs/>
          <w:sz w:val="28"/>
          <w:szCs w:val="28"/>
        </w:rPr>
        <w:t>《河南省房屋建筑与装饰工程预算定额》（HA01-31-2016）</w:t>
      </w:r>
      <w:r>
        <w:rPr>
          <w:rFonts w:hint="eastAsia" w:ascii="仿宋" w:hAnsi="仿宋" w:eastAsia="仿宋" w:cs="Times New Roman"/>
          <w:bCs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bCs/>
          <w:sz w:val="28"/>
          <w:szCs w:val="28"/>
        </w:rPr>
        <w:t>《河南省安装工程预算定额》（HA02-31-2016）。</w:t>
      </w:r>
    </w:p>
    <w:p>
      <w:pPr>
        <w:adjustRightInd w:val="0"/>
        <w:snapToGrid w:val="0"/>
        <w:spacing w:line="432" w:lineRule="auto"/>
        <w:ind w:left="-10" w:leftChars="-5" w:firstLine="562" w:firstLineChars="201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Times New Roman"/>
          <w:bCs/>
          <w:sz w:val="28"/>
          <w:szCs w:val="28"/>
        </w:rPr>
        <w:t>委托方提供的施工图纸、答疑等相关资料。</w:t>
      </w:r>
    </w:p>
    <w:p>
      <w:pPr>
        <w:adjustRightInd w:val="0"/>
        <w:snapToGrid w:val="0"/>
        <w:spacing w:line="432" w:lineRule="auto"/>
        <w:ind w:left="-10" w:leftChars="-5" w:firstLine="562" w:firstLineChars="201"/>
        <w:rPr>
          <w:rFonts w:hint="eastAsia" w:ascii="仿宋" w:hAnsi="仿宋" w:eastAsia="仿宋" w:cs="Times New Roman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bCs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Times New Roman"/>
          <w:bCs/>
          <w:sz w:val="28"/>
          <w:szCs w:val="28"/>
        </w:rPr>
        <w:t>与本项目有关的标准、规范、技术资料。</w:t>
      </w:r>
    </w:p>
    <w:p>
      <w:pPr>
        <w:numPr>
          <w:ilvl w:val="0"/>
          <w:numId w:val="0"/>
        </w:numPr>
        <w:adjustRightInd w:val="0"/>
        <w:snapToGrid w:val="0"/>
        <w:spacing w:line="432" w:lineRule="auto"/>
        <w:rPr>
          <w:rFonts w:hint="eastAsia" w:ascii="仿宋_GB2312" w:hAnsi="新宋体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  <w:lang w:eastAsia="zh-CN"/>
        </w:rPr>
        <w:t>四、说明</w:t>
      </w:r>
      <w:r>
        <w:rPr>
          <w:rFonts w:hint="eastAsia" w:ascii="仿宋" w:hAnsi="仿宋" w:eastAsia="仿宋"/>
          <w:b/>
          <w:sz w:val="28"/>
          <w:szCs w:val="28"/>
        </w:rPr>
        <w:t>事项</w:t>
      </w:r>
    </w:p>
    <w:p>
      <w:pPr>
        <w:tabs>
          <w:tab w:val="left" w:pos="0"/>
        </w:tabs>
        <w:adjustRightInd w:val="0"/>
        <w:snapToGrid w:val="0"/>
        <w:spacing w:line="408" w:lineRule="auto"/>
        <w:ind w:firstLine="560" w:firstLineChars="200"/>
        <w:rPr>
          <w:rFonts w:hint="eastAsia"/>
          <w:lang w:val="en-US" w:eastAsia="zh-CN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.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本清单系按分部分项工程进行编制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投标人在投标时应按招标文件规定的统一格式，填写造价的有关数据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  <w:t>；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br w:type="textWrapping"/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 xml:space="preserve"> 2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.本工程量清单的报价，应包括完成招标文件规定的工程量清单项目所需的全部费用。其中包括：⑴分部分项清单项目费：包括完成该工程项目所需的人工费、机械费、材料费、管理费、利润以及一定范围内的风险费；⑵措施项目费、其他项目费；⑶规费；⑷税金；⑸工程量清单中虽没有体现，但为完成该工程施工过程中又必须发生的费用。</w:t>
      </w:r>
      <w:bookmarkStart w:id="0" w:name="_GoBack"/>
      <w:bookmarkEnd w:id="0"/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E5DCE"/>
    <w:rsid w:val="02160ABC"/>
    <w:rsid w:val="11173789"/>
    <w:rsid w:val="123F0397"/>
    <w:rsid w:val="12F71318"/>
    <w:rsid w:val="22DE5DCE"/>
    <w:rsid w:val="26BA499E"/>
    <w:rsid w:val="2CCD1C44"/>
    <w:rsid w:val="2E6710DE"/>
    <w:rsid w:val="31126741"/>
    <w:rsid w:val="34A81EF6"/>
    <w:rsid w:val="3EEE24C5"/>
    <w:rsid w:val="3F383B36"/>
    <w:rsid w:val="457A4C8F"/>
    <w:rsid w:val="4A151CEA"/>
    <w:rsid w:val="4BA71D54"/>
    <w:rsid w:val="5777230D"/>
    <w:rsid w:val="5AC16E43"/>
    <w:rsid w:val="5BCA0766"/>
    <w:rsid w:val="5C8C3A86"/>
    <w:rsid w:val="72981C58"/>
    <w:rsid w:val="76833988"/>
    <w:rsid w:val="7B5C6B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2018-01-05T05:55:00Z</dcterms:created>
  <dc:creator>HG</dc:creator>
  <cp:lastModifiedBy>Administrator</cp:lastModifiedBy>
  <cp:lastPrinted>2020-01-16T05:56:46Z</cp:lastPrinted>
  <dcterms:modified xsi:type="dcterms:W3CDTF">2020-01-16T06:18:59Z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