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312" w:after="312" w:line="360" w:lineRule="auto"/>
        <w:jc w:val="center"/>
        <w:rPr>
          <w:rFonts w:ascii="宋体" w:hAnsi="宋体"/>
          <w:b/>
          <w:bCs/>
          <w:color w:val="000000" w:themeColor="text1"/>
          <w:sz w:val="48"/>
          <w:szCs w:val="48"/>
          <w:highlight w:val="none"/>
          <w14:textFill>
            <w14:solidFill>
              <w14:schemeClr w14:val="tx1"/>
            </w14:solidFill>
          </w14:textFill>
        </w:rPr>
      </w:pPr>
      <w:bookmarkStart w:id="0" w:name="_Toc239762524"/>
      <w:bookmarkEnd w:id="0"/>
      <w:bookmarkStart w:id="1" w:name="_Toc240338849"/>
      <w:bookmarkEnd w:id="1"/>
      <w:bookmarkStart w:id="2" w:name="_Toc238352250"/>
      <w:r>
        <w:rPr>
          <w:rFonts w:hint="eastAsia" w:ascii="宋体" w:hAnsi="宋体"/>
          <w:b/>
          <w:bCs/>
          <w:color w:val="000000" w:themeColor="text1"/>
          <w:sz w:val="48"/>
          <w:szCs w:val="48"/>
          <w:highlight w:val="none"/>
          <w14:textFill>
            <w14:solidFill>
              <w14:schemeClr w14:val="tx1"/>
            </w14:solidFill>
          </w14:textFill>
        </w:rPr>
        <w:t>开封市公安局业务技术用房配套附属工程情指联勤中心智能化项目</w:t>
      </w:r>
      <w:bookmarkEnd w:id="2"/>
    </w:p>
    <w:p>
      <w:pPr>
        <w:autoSpaceDE w:val="0"/>
        <w:autoSpaceDN w:val="0"/>
        <w:spacing w:line="360" w:lineRule="auto"/>
        <w:rPr>
          <w:rFonts w:ascii="宋体"/>
          <w:b/>
          <w:bCs/>
          <w:color w:val="000000" w:themeColor="text1"/>
          <w:sz w:val="96"/>
          <w:szCs w:val="96"/>
          <w:highlight w:val="none"/>
          <w14:textFill>
            <w14:solidFill>
              <w14:schemeClr w14:val="tx1"/>
            </w14:solidFill>
          </w14:textFill>
        </w:rPr>
      </w:pPr>
      <w:r>
        <w:rPr>
          <w:rFonts w:hint="eastAsia" w:ascii="宋体"/>
          <w:b/>
          <w:bCs/>
          <w:color w:val="000000" w:themeColor="text1"/>
          <w:sz w:val="96"/>
          <w:szCs w:val="96"/>
          <w:highlight w:val="none"/>
          <w14:textFill>
            <w14:solidFill>
              <w14:schemeClr w14:val="tx1"/>
            </w14:solidFill>
          </w14:textFill>
        </w:rPr>
        <w:t xml:space="preserve"> </w:t>
      </w:r>
    </w:p>
    <w:p>
      <w:pPr>
        <w:autoSpaceDE w:val="0"/>
        <w:autoSpaceDN w:val="0"/>
        <w:spacing w:line="360" w:lineRule="auto"/>
        <w:jc w:val="center"/>
        <w:rPr>
          <w:rFonts w:ascii="宋体"/>
          <w:b/>
          <w:bCs/>
          <w:color w:val="000000" w:themeColor="text1"/>
          <w:sz w:val="72"/>
          <w:szCs w:val="72"/>
          <w:highlight w:val="none"/>
          <w14:textFill>
            <w14:solidFill>
              <w14:schemeClr w14:val="tx1"/>
            </w14:solidFill>
          </w14:textFill>
        </w:rPr>
      </w:pPr>
      <w:r>
        <w:rPr>
          <w:rFonts w:hint="eastAsia" w:ascii="宋体" w:hAnsi="宋体"/>
          <w:b/>
          <w:bCs/>
          <w:color w:val="000000" w:themeColor="text1"/>
          <w:sz w:val="72"/>
          <w:szCs w:val="72"/>
          <w:highlight w:val="none"/>
          <w14:textFill>
            <w14:solidFill>
              <w14:schemeClr w14:val="tx1"/>
            </w14:solidFill>
          </w14:textFill>
        </w:rPr>
        <w:t>招</w:t>
      </w:r>
      <w:r>
        <w:rPr>
          <w:rFonts w:hint="eastAsia" w:ascii="宋体"/>
          <w:b/>
          <w:bCs/>
          <w:color w:val="000000" w:themeColor="text1"/>
          <w:sz w:val="72"/>
          <w:szCs w:val="72"/>
          <w:highlight w:val="none"/>
          <w14:textFill>
            <w14:solidFill>
              <w14:schemeClr w14:val="tx1"/>
            </w14:solidFill>
          </w14:textFill>
        </w:rPr>
        <w:t xml:space="preserve"> </w:t>
      </w:r>
      <w:r>
        <w:rPr>
          <w:rFonts w:hint="eastAsia" w:ascii="宋体" w:hAnsi="宋体"/>
          <w:b/>
          <w:bCs/>
          <w:color w:val="000000" w:themeColor="text1"/>
          <w:sz w:val="72"/>
          <w:szCs w:val="72"/>
          <w:highlight w:val="none"/>
          <w14:textFill>
            <w14:solidFill>
              <w14:schemeClr w14:val="tx1"/>
            </w14:solidFill>
          </w14:textFill>
        </w:rPr>
        <w:t>标</w:t>
      </w:r>
      <w:r>
        <w:rPr>
          <w:rFonts w:hint="eastAsia" w:ascii="宋体"/>
          <w:b/>
          <w:bCs/>
          <w:color w:val="000000" w:themeColor="text1"/>
          <w:sz w:val="72"/>
          <w:szCs w:val="72"/>
          <w:highlight w:val="none"/>
          <w14:textFill>
            <w14:solidFill>
              <w14:schemeClr w14:val="tx1"/>
            </w14:solidFill>
          </w14:textFill>
        </w:rPr>
        <w:t xml:space="preserve"> </w:t>
      </w:r>
      <w:r>
        <w:rPr>
          <w:rFonts w:hint="eastAsia" w:ascii="宋体" w:hAnsi="宋体"/>
          <w:b/>
          <w:bCs/>
          <w:color w:val="000000" w:themeColor="text1"/>
          <w:sz w:val="72"/>
          <w:szCs w:val="72"/>
          <w:highlight w:val="none"/>
          <w14:textFill>
            <w14:solidFill>
              <w14:schemeClr w14:val="tx1"/>
            </w14:solidFill>
          </w14:textFill>
        </w:rPr>
        <w:t>文</w:t>
      </w:r>
      <w:r>
        <w:rPr>
          <w:rFonts w:hint="eastAsia" w:ascii="宋体"/>
          <w:b/>
          <w:bCs/>
          <w:color w:val="000000" w:themeColor="text1"/>
          <w:sz w:val="72"/>
          <w:szCs w:val="72"/>
          <w:highlight w:val="none"/>
          <w14:textFill>
            <w14:solidFill>
              <w14:schemeClr w14:val="tx1"/>
            </w14:solidFill>
          </w14:textFill>
        </w:rPr>
        <w:t xml:space="preserve"> </w:t>
      </w:r>
      <w:r>
        <w:rPr>
          <w:rFonts w:hint="eastAsia" w:ascii="宋体" w:hAnsi="宋体"/>
          <w:b/>
          <w:bCs/>
          <w:color w:val="000000" w:themeColor="text1"/>
          <w:sz w:val="72"/>
          <w:szCs w:val="72"/>
          <w:highlight w:val="none"/>
          <w14:textFill>
            <w14:solidFill>
              <w14:schemeClr w14:val="tx1"/>
            </w14:solidFill>
          </w14:textFill>
        </w:rPr>
        <w:t>件</w:t>
      </w:r>
    </w:p>
    <w:p>
      <w:pPr>
        <w:autoSpaceDE w:val="0"/>
        <w:autoSpaceDN w:val="0"/>
        <w:spacing w:line="360" w:lineRule="auto"/>
        <w:jc w:val="center"/>
        <w:rPr>
          <w:rFonts w:ascii="宋体"/>
          <w:b/>
          <w:bCs/>
          <w:color w:val="000000" w:themeColor="text1"/>
          <w:sz w:val="24"/>
          <w:highlight w:val="none"/>
          <w14:textFill>
            <w14:solidFill>
              <w14:schemeClr w14:val="tx1"/>
            </w14:solidFill>
          </w14:textFill>
        </w:rPr>
      </w:pPr>
      <w:r>
        <w:rPr>
          <w:rFonts w:hint="eastAsia" w:ascii="宋体"/>
          <w:b/>
          <w:bCs/>
          <w:color w:val="000000" w:themeColor="text1"/>
          <w:sz w:val="24"/>
          <w:highlight w:val="none"/>
          <w14:textFill>
            <w14:solidFill>
              <w14:schemeClr w14:val="tx1"/>
            </w14:solidFill>
          </w14:textFill>
        </w:rPr>
        <w:t xml:space="preserve"> </w:t>
      </w:r>
    </w:p>
    <w:p>
      <w:pPr>
        <w:autoSpaceDE w:val="0"/>
        <w:autoSpaceDN w:val="0"/>
        <w:spacing w:line="360" w:lineRule="auto"/>
        <w:jc w:val="center"/>
        <w:rPr>
          <w:rFonts w:ascii="宋体"/>
          <w:b/>
          <w:bCs/>
          <w:color w:val="000000" w:themeColor="text1"/>
          <w:sz w:val="48"/>
          <w:szCs w:val="48"/>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项目编号：</w:t>
      </w:r>
      <w:r>
        <w:rPr>
          <w:rFonts w:hint="eastAsia" w:ascii="宋体"/>
          <w:b/>
          <w:bCs/>
          <w:color w:val="000000" w:themeColor="text1"/>
          <w:sz w:val="24"/>
          <w:highlight w:val="none"/>
          <w14:textFill>
            <w14:solidFill>
              <w14:schemeClr w14:val="tx1"/>
            </w14:solidFill>
          </w14:textFill>
        </w:rPr>
        <w:t xml:space="preserve">HNZK-2020-003 </w:t>
      </w:r>
    </w:p>
    <w:p>
      <w:pPr>
        <w:autoSpaceDE w:val="0"/>
        <w:autoSpaceDN w:val="0"/>
        <w:spacing w:line="360" w:lineRule="auto"/>
        <w:rPr>
          <w:rFonts w:ascii="宋体"/>
          <w:b/>
          <w:bCs/>
          <w:color w:val="000000" w:themeColor="text1"/>
          <w:sz w:val="48"/>
          <w:szCs w:val="48"/>
          <w:highlight w:val="none"/>
          <w14:textFill>
            <w14:solidFill>
              <w14:schemeClr w14:val="tx1"/>
            </w14:solidFill>
          </w14:textFill>
        </w:rPr>
      </w:pPr>
      <w:r>
        <w:rPr>
          <w:rFonts w:hint="eastAsia" w:ascii="宋体"/>
          <w:b/>
          <w:bCs/>
          <w:color w:val="000000" w:themeColor="text1"/>
          <w:sz w:val="48"/>
          <w:szCs w:val="48"/>
          <w:highlight w:val="none"/>
          <w14:textFill>
            <w14:solidFill>
              <w14:schemeClr w14:val="tx1"/>
            </w14:solidFill>
          </w14:textFill>
        </w:rPr>
        <w:t xml:space="preserve"> </w:t>
      </w:r>
    </w:p>
    <w:p>
      <w:pPr>
        <w:autoSpaceDE w:val="0"/>
        <w:autoSpaceDN w:val="0"/>
        <w:spacing w:line="360" w:lineRule="auto"/>
        <w:jc w:val="center"/>
        <w:rPr>
          <w:rFonts w:ascii="宋体"/>
          <w:b/>
          <w:bCs/>
          <w:color w:val="000000" w:themeColor="text1"/>
          <w:sz w:val="48"/>
          <w:szCs w:val="48"/>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2743200" cy="238125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r:link="rId7"/>
                    <a:stretch>
                      <a:fillRect/>
                    </a:stretch>
                  </pic:blipFill>
                  <pic:spPr>
                    <a:xfrm>
                      <a:off x="0" y="0"/>
                      <a:ext cx="2743200" cy="2381250"/>
                    </a:xfrm>
                    <a:prstGeom prst="rect">
                      <a:avLst/>
                    </a:prstGeom>
                    <a:noFill/>
                    <a:ln>
                      <a:noFill/>
                    </a:ln>
                  </pic:spPr>
                </pic:pic>
              </a:graphicData>
            </a:graphic>
          </wp:inline>
        </w:drawing>
      </w:r>
      <w:r>
        <w:rPr>
          <w:rFonts w:hint="eastAsia" w:ascii="宋体"/>
          <w:b/>
          <w:bCs/>
          <w:color w:val="000000" w:themeColor="text1"/>
          <w:sz w:val="48"/>
          <w:szCs w:val="48"/>
          <w:highlight w:val="none"/>
          <w14:textFill>
            <w14:solidFill>
              <w14:schemeClr w14:val="tx1"/>
            </w14:solidFill>
          </w14:textFill>
        </w:rPr>
        <w:t xml:space="preserve"> </w:t>
      </w:r>
    </w:p>
    <w:p>
      <w:pPr>
        <w:autoSpaceDE w:val="0"/>
        <w:autoSpaceDN w:val="0"/>
        <w:spacing w:line="360" w:lineRule="auto"/>
        <w:rPr>
          <w:rFonts w:ascii="宋体"/>
          <w:b/>
          <w:bCs/>
          <w:color w:val="000000" w:themeColor="text1"/>
          <w:sz w:val="48"/>
          <w:szCs w:val="48"/>
          <w:highlight w:val="none"/>
          <w14:textFill>
            <w14:solidFill>
              <w14:schemeClr w14:val="tx1"/>
            </w14:solidFill>
          </w14:textFill>
        </w:rPr>
      </w:pPr>
      <w:r>
        <w:rPr>
          <w:rFonts w:hint="eastAsia" w:ascii="宋体"/>
          <w:b/>
          <w:bCs/>
          <w:color w:val="000000" w:themeColor="text1"/>
          <w:sz w:val="48"/>
          <w:szCs w:val="48"/>
          <w:highlight w:val="none"/>
          <w14:textFill>
            <w14:solidFill>
              <w14:schemeClr w14:val="tx1"/>
            </w14:solidFill>
          </w14:textFill>
        </w:rPr>
        <w:t xml:space="preserve"> </w:t>
      </w:r>
    </w:p>
    <w:p>
      <w:pPr>
        <w:autoSpaceDE w:val="0"/>
        <w:autoSpaceDN w:val="0"/>
        <w:spacing w:line="360" w:lineRule="auto"/>
        <w:rPr>
          <w:rFonts w:ascii="宋体"/>
          <w:b/>
          <w:bCs/>
          <w:color w:val="000000" w:themeColor="text1"/>
          <w:sz w:val="48"/>
          <w:szCs w:val="48"/>
          <w:highlight w:val="none"/>
          <w14:textFill>
            <w14:solidFill>
              <w14:schemeClr w14:val="tx1"/>
            </w14:solidFill>
          </w14:textFill>
        </w:rPr>
      </w:pPr>
      <w:r>
        <w:rPr>
          <w:rFonts w:hint="eastAsia" w:ascii="宋体"/>
          <w:b/>
          <w:bCs/>
          <w:color w:val="000000" w:themeColor="text1"/>
          <w:sz w:val="48"/>
          <w:szCs w:val="48"/>
          <w:highlight w:val="none"/>
          <w14:textFill>
            <w14:solidFill>
              <w14:schemeClr w14:val="tx1"/>
            </w14:solidFill>
          </w14:textFill>
        </w:rPr>
        <w:t xml:space="preserve"> </w:t>
      </w:r>
    </w:p>
    <w:p>
      <w:pPr>
        <w:autoSpaceDE w:val="0"/>
        <w:autoSpaceDN w:val="0"/>
        <w:spacing w:line="360" w:lineRule="auto"/>
        <w:jc w:val="center"/>
        <w:rPr>
          <w:rFonts w:asci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招标人</w:t>
      </w:r>
      <w:r>
        <w:rPr>
          <w:rFonts w:hint="eastAsia" w:ascii="宋体"/>
          <w:b/>
          <w:bCs/>
          <w:color w:val="000000" w:themeColor="text1"/>
          <w:sz w:val="32"/>
          <w:szCs w:val="32"/>
          <w:highlight w:val="none"/>
          <w14:textFill>
            <w14:solidFill>
              <w14:schemeClr w14:val="tx1"/>
            </w14:solidFill>
          </w14:textFill>
        </w:rPr>
        <w:t>:</w:t>
      </w:r>
      <w:r>
        <w:rPr>
          <w:rFonts w:hint="eastAsia" w:ascii="宋体" w:hAnsi="宋体"/>
          <w:b/>
          <w:bCs/>
          <w:color w:val="000000" w:themeColor="text1"/>
          <w:sz w:val="32"/>
          <w:szCs w:val="32"/>
          <w:highlight w:val="none"/>
          <w14:textFill>
            <w14:solidFill>
              <w14:schemeClr w14:val="tx1"/>
            </w14:solidFill>
          </w14:textFill>
        </w:rPr>
        <w:t>开封市公安局</w:t>
      </w:r>
    </w:p>
    <w:p>
      <w:pPr>
        <w:autoSpaceDE w:val="0"/>
        <w:autoSpaceDN w:val="0"/>
        <w:spacing w:line="360" w:lineRule="auto"/>
        <w:jc w:val="center"/>
        <w:rPr>
          <w:rFonts w:asci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代理机构：河南正坤建设工程咨询有限公司</w:t>
      </w:r>
    </w:p>
    <w:p>
      <w:pPr>
        <w:autoSpaceDE w:val="0"/>
        <w:autoSpaceDN w:val="0"/>
        <w:spacing w:line="360" w:lineRule="auto"/>
        <w:jc w:val="center"/>
        <w:rPr>
          <w:rFonts w:asci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日</w:t>
      </w:r>
      <w:r>
        <w:rPr>
          <w:rFonts w:hint="eastAsia" w:ascii="宋体"/>
          <w:b/>
          <w:bCs/>
          <w:color w:val="000000" w:themeColor="text1"/>
          <w:sz w:val="32"/>
          <w:szCs w:val="32"/>
          <w:highlight w:val="none"/>
          <w14:textFill>
            <w14:solidFill>
              <w14:schemeClr w14:val="tx1"/>
            </w14:solidFill>
          </w14:textFill>
        </w:rPr>
        <w:t xml:space="preserve">   </w:t>
      </w:r>
      <w:r>
        <w:rPr>
          <w:rFonts w:hint="eastAsia" w:ascii="宋体" w:hAnsi="宋体"/>
          <w:b/>
          <w:bCs/>
          <w:color w:val="000000" w:themeColor="text1"/>
          <w:sz w:val="32"/>
          <w:szCs w:val="32"/>
          <w:highlight w:val="none"/>
          <w14:textFill>
            <w14:solidFill>
              <w14:schemeClr w14:val="tx1"/>
            </w14:solidFill>
          </w14:textFill>
        </w:rPr>
        <w:t>期：二零二零年</w:t>
      </w:r>
      <w:r>
        <w:rPr>
          <w:rFonts w:hint="eastAsia" w:ascii="宋体" w:hAnsi="宋体"/>
          <w:b/>
          <w:bCs/>
          <w:color w:val="000000" w:themeColor="text1"/>
          <w:sz w:val="32"/>
          <w:szCs w:val="32"/>
          <w:highlight w:val="none"/>
          <w:lang w:val="en-US" w:eastAsia="zh-CN"/>
          <w14:textFill>
            <w14:solidFill>
              <w14:schemeClr w14:val="tx1"/>
            </w14:solidFill>
          </w14:textFill>
        </w:rPr>
        <w:t>五</w:t>
      </w:r>
      <w:r>
        <w:rPr>
          <w:rFonts w:hint="eastAsia" w:ascii="宋体" w:hAnsi="宋体"/>
          <w:b/>
          <w:bCs/>
          <w:color w:val="000000" w:themeColor="text1"/>
          <w:sz w:val="32"/>
          <w:szCs w:val="32"/>
          <w:highlight w:val="none"/>
          <w14:textFill>
            <w14:solidFill>
              <w14:schemeClr w14:val="tx1"/>
            </w14:solidFill>
          </w14:textFill>
        </w:rPr>
        <w:t>月</w:t>
      </w:r>
      <w:bookmarkStart w:id="3" w:name="_Toc238352248"/>
      <w:bookmarkEnd w:id="3"/>
      <w:bookmarkStart w:id="4" w:name="_Toc570"/>
      <w:bookmarkEnd w:id="4"/>
    </w:p>
    <w:p>
      <w:pPr>
        <w:pStyle w:val="2"/>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pPr>
        <w:pStyle w:val="2"/>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pPr>
        <w:autoSpaceDE w:val="0"/>
        <w:autoSpaceDN w:val="0"/>
        <w:spacing w:line="360" w:lineRule="auto"/>
        <w:rPr>
          <w:rFonts w:ascii="宋体"/>
          <w:b/>
          <w:bCs/>
          <w:color w:val="000000" w:themeColor="text1"/>
          <w:sz w:val="44"/>
          <w:szCs w:val="44"/>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5648325" cy="7629525"/>
            <wp:effectExtent l="0" t="0" r="9525" b="952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8" r:link="rId9"/>
                    <a:stretch>
                      <a:fillRect/>
                    </a:stretch>
                  </pic:blipFill>
                  <pic:spPr>
                    <a:xfrm>
                      <a:off x="0" y="0"/>
                      <a:ext cx="5648325" cy="7629525"/>
                    </a:xfrm>
                    <a:prstGeom prst="rect">
                      <a:avLst/>
                    </a:prstGeom>
                    <a:noFill/>
                    <a:ln>
                      <a:noFill/>
                    </a:ln>
                  </pic:spPr>
                </pic:pic>
              </a:graphicData>
            </a:graphic>
          </wp:inline>
        </w:drawing>
      </w:r>
      <w:r>
        <w:rPr>
          <w:rFonts w:hint="eastAsia" w:ascii="宋体"/>
          <w:b/>
          <w:bCs/>
          <w:color w:val="000000" w:themeColor="text1"/>
          <w:sz w:val="44"/>
          <w:szCs w:val="44"/>
          <w:highlight w:val="none"/>
          <w14:textFill>
            <w14:solidFill>
              <w14:schemeClr w14:val="tx1"/>
            </w14:solidFill>
          </w14:textFill>
        </w:rPr>
        <w:t xml:space="preserve"> </w:t>
      </w:r>
    </w:p>
    <w:p>
      <w:pPr>
        <w:autoSpaceDE w:val="0"/>
        <w:autoSpaceDN w:val="0"/>
        <w:spacing w:line="360" w:lineRule="auto"/>
        <w:ind w:firstLine="1034" w:firstLineChars="234"/>
        <w:jc w:val="center"/>
        <w:rPr>
          <w:rFonts w:ascii="宋体"/>
          <w:b/>
          <w:bCs/>
          <w:color w:val="000000" w:themeColor="text1"/>
          <w:sz w:val="44"/>
          <w:szCs w:val="44"/>
          <w:highlight w:val="none"/>
          <w14:textFill>
            <w14:solidFill>
              <w14:schemeClr w14:val="tx1"/>
            </w14:solidFill>
          </w14:textFill>
        </w:rPr>
      </w:pPr>
      <w:r>
        <w:rPr>
          <w:rFonts w:hint="eastAsia" w:ascii="宋体"/>
          <w:b/>
          <w:bCs/>
          <w:color w:val="000000" w:themeColor="text1"/>
          <w:sz w:val="44"/>
          <w:szCs w:val="44"/>
          <w:highlight w:val="none"/>
          <w14:textFill>
            <w14:solidFill>
              <w14:schemeClr w14:val="tx1"/>
            </w14:solidFill>
          </w14:textFill>
        </w:rPr>
        <w:t xml:space="preserve"> </w:t>
      </w:r>
    </w:p>
    <w:p>
      <w:pPr>
        <w:autoSpaceDE w:val="0"/>
        <w:autoSpaceDN w:val="0"/>
        <w:spacing w:line="360" w:lineRule="auto"/>
        <w:ind w:firstLine="1034" w:firstLineChars="234"/>
        <w:jc w:val="center"/>
        <w:rPr>
          <w:rFonts w:ascii="宋体"/>
          <w:b/>
          <w:bCs/>
          <w:color w:val="000000" w:themeColor="text1"/>
          <w:sz w:val="44"/>
          <w:szCs w:val="44"/>
          <w:highlight w:val="none"/>
          <w14:textFill>
            <w14:solidFill>
              <w14:schemeClr w14:val="tx1"/>
            </w14:solidFill>
          </w14:textFill>
        </w:rPr>
      </w:pPr>
      <w:r>
        <w:rPr>
          <w:rFonts w:hint="eastAsia" w:ascii="宋体"/>
          <w:b/>
          <w:bCs/>
          <w:color w:val="000000" w:themeColor="text1"/>
          <w:sz w:val="44"/>
          <w:szCs w:val="44"/>
          <w:highlight w:val="none"/>
          <w14:textFill>
            <w14:solidFill>
              <w14:schemeClr w14:val="tx1"/>
            </w14:solidFill>
          </w14:textFill>
        </w:rPr>
        <w:t xml:space="preserve"> </w:t>
      </w:r>
    </w:p>
    <w:p>
      <w:pPr>
        <w:widowControl/>
        <w:jc w:val="left"/>
        <w:rPr>
          <w:rFonts w:ascii="宋体"/>
          <w:b/>
          <w:bCs/>
          <w:color w:val="000000" w:themeColor="text1"/>
          <w:sz w:val="44"/>
          <w:szCs w:val="44"/>
          <w:highlight w:val="none"/>
          <w14:textFill>
            <w14:solidFill>
              <w14:schemeClr w14:val="tx1"/>
            </w14:solidFill>
          </w14:textFill>
        </w:rPr>
      </w:pPr>
      <w:r>
        <w:rPr>
          <w:rFonts w:hint="eastAsia" w:ascii="宋体"/>
          <w:b/>
          <w:bCs/>
          <w:color w:val="000000" w:themeColor="text1"/>
          <w:sz w:val="44"/>
          <w:szCs w:val="44"/>
          <w:highlight w:val="none"/>
          <w14:textFill>
            <w14:solidFill>
              <w14:schemeClr w14:val="tx1"/>
            </w14:solidFill>
          </w14:textFill>
        </w:rPr>
        <w:br w:type="page"/>
      </w:r>
    </w:p>
    <w:p>
      <w:pPr>
        <w:autoSpaceDE w:val="0"/>
        <w:autoSpaceDN w:val="0"/>
        <w:spacing w:line="360" w:lineRule="auto"/>
        <w:jc w:val="center"/>
        <w:rPr>
          <w:rFonts w:ascii="宋体"/>
          <w:b/>
          <w:bCs/>
          <w:color w:val="000000" w:themeColor="text1"/>
          <w:sz w:val="44"/>
          <w:szCs w:val="44"/>
          <w:highlight w:val="none"/>
          <w14:textFill>
            <w14:solidFill>
              <w14:schemeClr w14:val="tx1"/>
            </w14:solidFill>
          </w14:textFill>
        </w:rPr>
      </w:pPr>
      <w:r>
        <w:rPr>
          <w:rFonts w:hint="eastAsia" w:ascii="宋体" w:hAnsi="宋体"/>
          <w:b/>
          <w:bCs/>
          <w:color w:val="000000" w:themeColor="text1"/>
          <w:sz w:val="44"/>
          <w:szCs w:val="44"/>
          <w:highlight w:val="none"/>
          <w14:textFill>
            <w14:solidFill>
              <w14:schemeClr w14:val="tx1"/>
            </w14:solidFill>
          </w14:textFill>
        </w:rPr>
        <w:t>目录</w:t>
      </w:r>
    </w:p>
    <w:p>
      <w:pPr>
        <w:pStyle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pPr>
        <w:pStyle w:val="11"/>
        <w:spacing w:line="360" w:lineRule="auto"/>
        <w:rPr>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第一章</w:t>
      </w:r>
      <w:r>
        <w:rPr>
          <w:rFonts w:hint="eastAsia" w:ascii="宋体"/>
          <w:color w:val="000000" w:themeColor="text1"/>
          <w:sz w:val="28"/>
          <w:szCs w:val="28"/>
          <w:highlight w:val="none"/>
          <w14:textFill>
            <w14:solidFill>
              <w14:schemeClr w14:val="tx1"/>
            </w14:solidFill>
          </w14:textFill>
        </w:rPr>
        <w:t xml:space="preserve"> </w:t>
      </w:r>
      <w:r>
        <w:rPr>
          <w:rFonts w:hint="eastAsia" w:ascii="宋体" w:hAnsi="宋体"/>
          <w:color w:val="000000" w:themeColor="text1"/>
          <w:sz w:val="28"/>
          <w:szCs w:val="28"/>
          <w:highlight w:val="none"/>
          <w14:textFill>
            <w14:solidFill>
              <w14:schemeClr w14:val="tx1"/>
            </w14:solidFill>
          </w14:textFill>
        </w:rPr>
        <w:t>招标公告</w:t>
      </w:r>
      <w:r>
        <w:rPr>
          <w:color w:val="000000" w:themeColor="text1"/>
          <w:sz w:val="28"/>
          <w:szCs w:val="28"/>
          <w:highlight w:val="none"/>
          <w14:textFill>
            <w14:solidFill>
              <w14:schemeClr w14:val="tx1"/>
            </w14:solidFill>
          </w14:textFill>
        </w:rPr>
        <w:t>…………………………………………………………………………</w:t>
      </w:r>
      <w:r>
        <w:rPr>
          <w:rFonts w:hint="eastAsia"/>
          <w:color w:val="000000" w:themeColor="text1"/>
          <w:sz w:val="28"/>
          <w:szCs w:val="28"/>
          <w:highlight w:val="none"/>
          <w14:textFill>
            <w14:solidFill>
              <w14:schemeClr w14:val="tx1"/>
            </w14:solidFill>
          </w14:textFill>
        </w:rPr>
        <w:t>.</w:t>
      </w:r>
      <w:r>
        <w:rPr>
          <w:color w:val="000000" w:themeColor="text1"/>
          <w:sz w:val="28"/>
          <w:szCs w:val="28"/>
          <w:highlight w:val="none"/>
          <w14:textFill>
            <w14:solidFill>
              <w14:schemeClr w14:val="tx1"/>
            </w14:solidFill>
          </w14:textFill>
        </w:rPr>
        <w:t>………</w:t>
      </w:r>
      <w:r>
        <w:rPr>
          <w:rFonts w:hint="eastAsia"/>
          <w:color w:val="000000" w:themeColor="text1"/>
          <w:sz w:val="28"/>
          <w:szCs w:val="28"/>
          <w:highlight w:val="none"/>
          <w14:textFill>
            <w14:solidFill>
              <w14:schemeClr w14:val="tx1"/>
            </w14:solidFill>
          </w14:textFill>
        </w:rPr>
        <w:t>..</w:t>
      </w:r>
      <w:r>
        <w:rPr>
          <w:color w:val="000000" w:themeColor="text1"/>
          <w:sz w:val="28"/>
          <w:szCs w:val="28"/>
          <w:highlight w:val="none"/>
          <w14:textFill>
            <w14:solidFill>
              <w14:schemeClr w14:val="tx1"/>
            </w14:solidFill>
          </w14:textFill>
        </w:rPr>
        <w:t>1</w:t>
      </w:r>
    </w:p>
    <w:p>
      <w:pPr>
        <w:pStyle w:val="11"/>
        <w:spacing w:line="360" w:lineRule="auto"/>
        <w:rPr>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第二章</w:t>
      </w:r>
      <w:r>
        <w:rPr>
          <w:rFonts w:hint="eastAsia" w:ascii="宋体"/>
          <w:color w:val="000000" w:themeColor="text1"/>
          <w:sz w:val="28"/>
          <w:szCs w:val="28"/>
          <w:highlight w:val="none"/>
          <w14:textFill>
            <w14:solidFill>
              <w14:schemeClr w14:val="tx1"/>
            </w14:solidFill>
          </w14:textFill>
        </w:rPr>
        <w:t xml:space="preserve"> </w:t>
      </w:r>
      <w:r>
        <w:rPr>
          <w:rFonts w:hint="eastAsia" w:ascii="宋体" w:hAnsi="宋体"/>
          <w:color w:val="000000" w:themeColor="text1"/>
          <w:sz w:val="28"/>
          <w:szCs w:val="28"/>
          <w:highlight w:val="none"/>
          <w14:textFill>
            <w14:solidFill>
              <w14:schemeClr w14:val="tx1"/>
            </w14:solidFill>
          </w14:textFill>
        </w:rPr>
        <w:t>供应商须知</w:t>
      </w:r>
      <w:r>
        <w:rPr>
          <w:rFonts w:ascii="宋体" w:hAnsi="宋体"/>
          <w:color w:val="000000" w:themeColor="text1"/>
          <w:sz w:val="28"/>
          <w:szCs w:val="28"/>
          <w:highlight w:val="none"/>
          <w14:textFill>
            <w14:solidFill>
              <w14:schemeClr w14:val="tx1"/>
            </w14:solidFill>
          </w14:textFill>
        </w:rPr>
        <w:t>………………………………………………………</w:t>
      </w:r>
      <w:r>
        <w:rPr>
          <w:color w:val="000000" w:themeColor="text1"/>
          <w:sz w:val="28"/>
          <w:szCs w:val="28"/>
          <w:highlight w:val="none"/>
          <w14:textFill>
            <w14:solidFill>
              <w14:schemeClr w14:val="tx1"/>
            </w14:solidFill>
          </w14:textFill>
        </w:rPr>
        <w:t>4</w:t>
      </w:r>
    </w:p>
    <w:p>
      <w:pPr>
        <w:pStyle w:val="11"/>
        <w:spacing w:line="360" w:lineRule="auto"/>
        <w:rPr>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第三章评标办法</w:t>
      </w:r>
      <w:r>
        <w:rPr>
          <w:rFonts w:ascii="宋体" w:hAnsi="宋体"/>
          <w:color w:val="000000" w:themeColor="text1"/>
          <w:sz w:val="28"/>
          <w:szCs w:val="28"/>
          <w:highlight w:val="none"/>
          <w14:textFill>
            <w14:solidFill>
              <w14:schemeClr w14:val="tx1"/>
            </w14:solidFill>
          </w14:textFill>
        </w:rPr>
        <w:t>…………………………………………………………</w:t>
      </w:r>
      <w:r>
        <w:rPr>
          <w:color w:val="000000" w:themeColor="text1"/>
          <w:sz w:val="28"/>
          <w:szCs w:val="28"/>
          <w:highlight w:val="none"/>
          <w14:textFill>
            <w14:solidFill>
              <w14:schemeClr w14:val="tx1"/>
            </w14:solidFill>
          </w14:textFill>
        </w:rPr>
        <w:t xml:space="preserve"> 17</w:t>
      </w:r>
    </w:p>
    <w:p>
      <w:pPr>
        <w:pStyle w:val="11"/>
        <w:spacing w:line="360" w:lineRule="auto"/>
        <w:rPr>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第四章</w:t>
      </w:r>
      <w:r>
        <w:rPr>
          <w:rFonts w:hint="eastAsia" w:ascii="宋体"/>
          <w:color w:val="000000" w:themeColor="text1"/>
          <w:sz w:val="28"/>
          <w:szCs w:val="28"/>
          <w:highlight w:val="none"/>
          <w14:textFill>
            <w14:solidFill>
              <w14:schemeClr w14:val="tx1"/>
            </w14:solidFill>
          </w14:textFill>
        </w:rPr>
        <w:t xml:space="preserve"> </w:t>
      </w:r>
      <w:r>
        <w:rPr>
          <w:rFonts w:hint="eastAsia" w:ascii="宋体" w:hAnsi="宋体"/>
          <w:color w:val="000000" w:themeColor="text1"/>
          <w:sz w:val="28"/>
          <w:szCs w:val="28"/>
          <w:highlight w:val="none"/>
          <w14:textFill>
            <w14:solidFill>
              <w14:schemeClr w14:val="tx1"/>
            </w14:solidFill>
          </w14:textFill>
        </w:rPr>
        <w:t>合同条款及格式（仅供参考）</w:t>
      </w:r>
      <w:r>
        <w:rPr>
          <w:color w:val="000000" w:themeColor="text1"/>
          <w:sz w:val="28"/>
          <w:szCs w:val="28"/>
          <w:highlight w:val="none"/>
          <w14:textFill>
            <w14:solidFill>
              <w14:schemeClr w14:val="tx1"/>
            </w14:solidFill>
          </w14:textFill>
        </w:rPr>
        <w:t>………………………………………………</w:t>
      </w:r>
      <w:r>
        <w:rPr>
          <w:rFonts w:hint="eastAsia"/>
          <w:color w:val="000000" w:themeColor="text1"/>
          <w:sz w:val="28"/>
          <w:szCs w:val="28"/>
          <w:highlight w:val="none"/>
          <w14:textFill>
            <w14:solidFill>
              <w14:schemeClr w14:val="tx1"/>
            </w14:solidFill>
          </w14:textFill>
        </w:rPr>
        <w:t>.</w:t>
      </w:r>
      <w:r>
        <w:rPr>
          <w:color w:val="000000" w:themeColor="text1"/>
          <w:sz w:val="28"/>
          <w:szCs w:val="28"/>
          <w:highlight w:val="none"/>
          <w14:textFill>
            <w14:solidFill>
              <w14:schemeClr w14:val="tx1"/>
            </w14:solidFill>
          </w14:textFill>
        </w:rPr>
        <w:t>25</w:t>
      </w:r>
    </w:p>
    <w:p>
      <w:pPr>
        <w:pStyle w:val="11"/>
        <w:spacing w:line="360" w:lineRule="auto"/>
        <w:rPr>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第五章</w:t>
      </w:r>
      <w:r>
        <w:rPr>
          <w:rFonts w:hint="eastAsia" w:ascii="宋体"/>
          <w:color w:val="000000" w:themeColor="text1"/>
          <w:sz w:val="28"/>
          <w:szCs w:val="28"/>
          <w:highlight w:val="none"/>
          <w14:textFill>
            <w14:solidFill>
              <w14:schemeClr w14:val="tx1"/>
            </w14:solidFill>
          </w14:textFill>
        </w:rPr>
        <w:t xml:space="preserve"> </w:t>
      </w:r>
      <w:r>
        <w:rPr>
          <w:rFonts w:hint="eastAsia" w:ascii="宋体" w:hAnsi="宋体"/>
          <w:color w:val="000000" w:themeColor="text1"/>
          <w:sz w:val="28"/>
          <w:szCs w:val="28"/>
          <w:highlight w:val="none"/>
          <w14:textFill>
            <w14:solidFill>
              <w14:schemeClr w14:val="tx1"/>
            </w14:solidFill>
          </w14:textFill>
        </w:rPr>
        <w:t>采购数量及技术要求</w:t>
      </w:r>
      <w:r>
        <w:rPr>
          <w:color w:val="000000" w:themeColor="text1"/>
          <w:sz w:val="28"/>
          <w:szCs w:val="28"/>
          <w:highlight w:val="none"/>
          <w14:textFill>
            <w14:solidFill>
              <w14:schemeClr w14:val="tx1"/>
            </w14:solidFill>
          </w14:textFill>
        </w:rPr>
        <w:t>………………………………………………………………30</w:t>
      </w:r>
    </w:p>
    <w:p>
      <w:pPr>
        <w:pStyle w:val="11"/>
        <w:spacing w:line="360" w:lineRule="auto"/>
        <w:rPr>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第六章</w:t>
      </w:r>
      <w:r>
        <w:rPr>
          <w:rFonts w:hint="eastAsia" w:ascii="宋体"/>
          <w:color w:val="000000" w:themeColor="text1"/>
          <w:sz w:val="28"/>
          <w:szCs w:val="28"/>
          <w:highlight w:val="none"/>
          <w14:textFill>
            <w14:solidFill>
              <w14:schemeClr w14:val="tx1"/>
            </w14:solidFill>
          </w14:textFill>
        </w:rPr>
        <w:t xml:space="preserve"> </w:t>
      </w:r>
      <w:r>
        <w:rPr>
          <w:rFonts w:hint="eastAsia" w:ascii="宋体" w:hAnsi="宋体"/>
          <w:color w:val="000000" w:themeColor="text1"/>
          <w:sz w:val="28"/>
          <w:szCs w:val="28"/>
          <w:highlight w:val="none"/>
          <w14:textFill>
            <w14:solidFill>
              <w14:schemeClr w14:val="tx1"/>
            </w14:solidFill>
          </w14:textFill>
        </w:rPr>
        <w:t>投标文件格式</w:t>
      </w:r>
      <w:r>
        <w:rPr>
          <w:color w:val="000000" w:themeColor="text1"/>
          <w:sz w:val="28"/>
          <w:szCs w:val="28"/>
          <w:highlight w:val="none"/>
          <w14:textFill>
            <w14:solidFill>
              <w14:schemeClr w14:val="tx1"/>
            </w14:solidFill>
          </w14:textFill>
        </w:rPr>
        <w:t>…………………………………………………………………………109</w:t>
      </w:r>
    </w:p>
    <w:p>
      <w:pPr>
        <w:widowControl/>
        <w:spacing w:line="360" w:lineRule="auto"/>
        <w:jc w:val="left"/>
        <w:rPr>
          <w:rFonts w:ascii="宋体"/>
          <w:b/>
          <w:bCs/>
          <w:color w:val="000000" w:themeColor="text1"/>
          <w:sz w:val="36"/>
          <w:szCs w:val="36"/>
          <w:highlight w:val="none"/>
          <w14:textFill>
            <w14:solidFill>
              <w14:schemeClr w14:val="tx1"/>
            </w14:solidFill>
          </w14:textFill>
        </w:rPr>
        <w:sectPr>
          <w:pgSz w:w="11906" w:h="16838"/>
          <w:pgMar w:top="1417" w:right="1417" w:bottom="1417" w:left="1417" w:header="720" w:footer="720" w:gutter="0"/>
          <w:cols w:space="720" w:num="1"/>
          <w:docGrid w:type="lines" w:linePitch="312" w:charSpace="0"/>
        </w:sectPr>
      </w:pPr>
      <w:bookmarkStart w:id="5" w:name="_Toc1450"/>
      <w:bookmarkEnd w:id="5"/>
      <w:bookmarkStart w:id="6" w:name="_Toc3860"/>
      <w:bookmarkEnd w:id="6"/>
      <w:bookmarkStart w:id="7" w:name="_Toc28015"/>
      <w:bookmarkEnd w:id="7"/>
    </w:p>
    <w:p>
      <w:pPr>
        <w:autoSpaceDE w:val="0"/>
        <w:autoSpaceDN w:val="0"/>
        <w:spacing w:line="360" w:lineRule="auto"/>
        <w:jc w:val="center"/>
        <w:outlineLvl w:val="0"/>
        <w:rPr>
          <w:rFonts w:ascii="宋体"/>
          <w:b/>
          <w:bCs/>
          <w:color w:val="000000" w:themeColor="text1"/>
          <w:sz w:val="36"/>
          <w:szCs w:val="36"/>
          <w:highlight w:val="none"/>
          <w14:textFill>
            <w14:solidFill>
              <w14:schemeClr w14:val="tx1"/>
            </w14:solidFill>
          </w14:textFill>
        </w:rPr>
      </w:pPr>
      <w:r>
        <w:rPr>
          <w:rFonts w:hint="eastAsia" w:ascii="宋体" w:hAnsi="宋体"/>
          <w:b/>
          <w:bCs/>
          <w:color w:val="000000" w:themeColor="text1"/>
          <w:sz w:val="36"/>
          <w:szCs w:val="36"/>
          <w:highlight w:val="none"/>
          <w14:textFill>
            <w14:solidFill>
              <w14:schemeClr w14:val="tx1"/>
            </w14:solidFill>
          </w14:textFill>
        </w:rPr>
        <w:t>第一章</w:t>
      </w:r>
      <w:r>
        <w:rPr>
          <w:rFonts w:hint="eastAsia" w:ascii="宋体"/>
          <w:b/>
          <w:bCs/>
          <w:color w:val="000000" w:themeColor="text1"/>
          <w:sz w:val="36"/>
          <w:szCs w:val="36"/>
          <w:highlight w:val="none"/>
          <w14:textFill>
            <w14:solidFill>
              <w14:schemeClr w14:val="tx1"/>
            </w14:solidFill>
          </w14:textFill>
        </w:rPr>
        <w:t xml:space="preserve"> </w:t>
      </w:r>
      <w:r>
        <w:rPr>
          <w:rFonts w:hint="eastAsia" w:ascii="宋体" w:hAnsi="宋体"/>
          <w:b/>
          <w:bCs/>
          <w:color w:val="000000" w:themeColor="text1"/>
          <w:sz w:val="36"/>
          <w:szCs w:val="36"/>
          <w:highlight w:val="none"/>
          <w14:textFill>
            <w14:solidFill>
              <w14:schemeClr w14:val="tx1"/>
            </w14:solidFill>
          </w14:textFill>
        </w:rPr>
        <w:t>招标公告</w:t>
      </w:r>
    </w:p>
    <w:p>
      <w:pPr>
        <w:widowControl/>
        <w:shd w:val="clear" w:color="auto" w:fill="FFFFFF"/>
        <w:spacing w:line="360" w:lineRule="auto"/>
        <w:ind w:firstLine="420"/>
        <w:jc w:val="left"/>
        <w:rPr>
          <w:rFonts w:hint="eastAsia" w:ascii="宋体" w:hAnsi="宋体"/>
          <w:color w:val="000000" w:themeColor="text1"/>
          <w:kern w:val="0"/>
          <w:szCs w:val="21"/>
          <w:highlight w:val="none"/>
          <w14:textFill>
            <w14:solidFill>
              <w14:schemeClr w14:val="tx1"/>
            </w14:solidFill>
          </w14:textFill>
        </w:rPr>
      </w:pPr>
      <w:bookmarkStart w:id="8" w:name="_Toc179632544"/>
      <w:bookmarkEnd w:id="8"/>
      <w:bookmarkStart w:id="9" w:name="_Toc338840479"/>
      <w:bookmarkEnd w:id="9"/>
      <w:bookmarkStart w:id="10" w:name="_Toc152042289"/>
      <w:bookmarkEnd w:id="10"/>
      <w:bookmarkStart w:id="11" w:name="_Toc144974481"/>
      <w:bookmarkEnd w:id="11"/>
      <w:bookmarkStart w:id="12" w:name="_Toc388786652"/>
      <w:bookmarkEnd w:id="12"/>
      <w:bookmarkStart w:id="13" w:name="_Toc152045527"/>
      <w:bookmarkEnd w:id="13"/>
      <w:bookmarkStart w:id="14" w:name="_Toc454018380"/>
      <w:bookmarkEnd w:id="14"/>
      <w:bookmarkStart w:id="15" w:name="_Toc152042303"/>
      <w:bookmarkEnd w:id="15"/>
      <w:bookmarkStart w:id="16" w:name="_Toc144974495"/>
      <w:bookmarkEnd w:id="16"/>
      <w:bookmarkStart w:id="17" w:name="_Toc246996916"/>
      <w:bookmarkEnd w:id="17"/>
      <w:bookmarkStart w:id="18" w:name="_Toc247085687"/>
      <w:bookmarkEnd w:id="18"/>
      <w:bookmarkStart w:id="19" w:name="_Toc338840185"/>
      <w:bookmarkEnd w:id="19"/>
      <w:bookmarkStart w:id="20" w:name="_Toc23320"/>
      <w:bookmarkEnd w:id="20"/>
      <w:bookmarkStart w:id="21" w:name="_Toc346523400"/>
      <w:bookmarkEnd w:id="21"/>
      <w:bookmarkStart w:id="22" w:name="_Toc215480490"/>
      <w:bookmarkEnd w:id="22"/>
      <w:bookmarkStart w:id="23" w:name="_Toc338840440"/>
      <w:bookmarkEnd w:id="23"/>
      <w:bookmarkStart w:id="24" w:name="_Toc246996173"/>
      <w:bookmarkEnd w:id="24"/>
      <w:bookmarkStart w:id="25" w:name="_Hlk528225879"/>
      <w:r>
        <w:rPr>
          <w:rFonts w:hint="eastAsia" w:ascii="宋体" w:hAnsi="宋体"/>
          <w:color w:val="000000" w:themeColor="text1"/>
          <w:kern w:val="0"/>
          <w:highlight w:val="none"/>
          <w14:textFill>
            <w14:solidFill>
              <w14:schemeClr w14:val="tx1"/>
            </w14:solidFill>
          </w14:textFill>
        </w:rPr>
        <w:t>河南正坤建设工程咨询有限公司</w:t>
      </w:r>
      <w:bookmarkEnd w:id="25"/>
      <w:r>
        <w:rPr>
          <w:rFonts w:hint="eastAsia" w:ascii="宋体" w:hAnsi="宋体"/>
          <w:color w:val="000000" w:themeColor="text1"/>
          <w:kern w:val="0"/>
          <w:highlight w:val="none"/>
          <w14:textFill>
            <w14:solidFill>
              <w14:schemeClr w14:val="tx1"/>
            </w14:solidFill>
          </w14:textFill>
        </w:rPr>
        <w:t>受开封市公安局的委托，就开封市公安局业务技术用房配套附属工程情指联勤中心智能化项目进行公开招标，欢迎符合招标要求的企业参加投标。</w:t>
      </w:r>
    </w:p>
    <w:p>
      <w:pPr>
        <w:widowControl/>
        <w:shd w:val="clear" w:color="auto" w:fill="FFFFFF"/>
        <w:spacing w:line="360" w:lineRule="auto"/>
        <w:jc w:val="left"/>
        <w:rPr>
          <w:rFonts w:hint="eastAsia"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一、招标项目名称及招标编号</w:t>
      </w:r>
    </w:p>
    <w:p>
      <w:pPr>
        <w:widowControl/>
        <w:shd w:val="clear" w:color="auto" w:fill="FFFFFF"/>
        <w:spacing w:line="360" w:lineRule="auto"/>
        <w:ind w:firstLine="42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1.1、项目名称：开封市公安局业务技术用房配套附属工程情指联勤中心智能化项目</w:t>
      </w:r>
    </w:p>
    <w:p>
      <w:pPr>
        <w:widowControl/>
        <w:shd w:val="clear" w:color="auto" w:fill="FFFFFF"/>
        <w:spacing w:line="360" w:lineRule="auto"/>
        <w:ind w:firstLine="42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1.2、项目编号： HNZK-2020-3</w:t>
      </w:r>
    </w:p>
    <w:p>
      <w:pPr>
        <w:widowControl/>
        <w:shd w:val="clear" w:color="auto" w:fill="FFFFFF"/>
        <w:spacing w:line="360" w:lineRule="auto"/>
        <w:jc w:val="left"/>
        <w:rPr>
          <w:rFonts w:hint="eastAsia"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二、招标项目简要说明</w:t>
      </w:r>
    </w:p>
    <w:p>
      <w:pPr>
        <w:widowControl/>
        <w:shd w:val="clear" w:color="auto" w:fill="FFFFFF"/>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2.1、投资总金额：</w:t>
      </w:r>
      <w:r>
        <w:rPr>
          <w:rFonts w:hint="eastAsia" w:ascii="宋体" w:hAnsi="宋体"/>
          <w:color w:val="000000" w:themeColor="text1"/>
          <w:kern w:val="0"/>
          <w:highlight w:val="none"/>
          <w:lang w:val="en-US" w:eastAsia="zh-CN"/>
          <w14:textFill>
            <w14:solidFill>
              <w14:schemeClr w14:val="tx1"/>
            </w14:solidFill>
          </w14:textFill>
        </w:rPr>
        <w:t xml:space="preserve">2196.810987 </w:t>
      </w:r>
      <w:r>
        <w:rPr>
          <w:rFonts w:hint="eastAsia" w:ascii="宋体" w:hAnsi="宋体"/>
          <w:color w:val="000000" w:themeColor="text1"/>
          <w:kern w:val="0"/>
          <w:highlight w:val="none"/>
          <w14:textFill>
            <w14:solidFill>
              <w14:schemeClr w14:val="tx1"/>
            </w14:solidFill>
          </w14:textFill>
        </w:rPr>
        <w:t>万元</w:t>
      </w:r>
    </w:p>
    <w:p>
      <w:pPr>
        <w:widowControl/>
        <w:shd w:val="clear" w:color="auto" w:fill="FFFFFF"/>
        <w:spacing w:line="360" w:lineRule="auto"/>
        <w:ind w:firstLine="42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2.2、资金来源：财政资金</w:t>
      </w:r>
      <w:bookmarkStart w:id="89" w:name="_GoBack"/>
      <w:bookmarkEnd w:id="89"/>
    </w:p>
    <w:p>
      <w:pPr>
        <w:widowControl/>
        <w:shd w:val="clear" w:color="auto" w:fill="FFFFFF"/>
        <w:spacing w:line="360" w:lineRule="auto"/>
        <w:ind w:firstLine="42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2.3、项目概况：开封市公安局情指联勤中心位于主楼4层、5层，建筑面积约1400平方米。主要包括指挥大厅、110接警区、情报合成区、决策室、技侦室、图侦等区域</w:t>
      </w:r>
    </w:p>
    <w:p>
      <w:pPr>
        <w:widowControl/>
        <w:shd w:val="clear" w:color="auto" w:fill="FFFFFF"/>
        <w:spacing w:line="360" w:lineRule="auto"/>
        <w:ind w:firstLine="42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2.4、采购内容：软硬件系统(具体清单参数详见招标文件)</w:t>
      </w:r>
    </w:p>
    <w:p>
      <w:pPr>
        <w:widowControl/>
        <w:shd w:val="clear" w:color="auto" w:fill="FFFFFF"/>
        <w:spacing w:line="360" w:lineRule="auto"/>
        <w:ind w:firstLine="420"/>
        <w:jc w:val="left"/>
        <w:rPr>
          <w:rFonts w:hint="eastAsia" w:ascii="宋体" w:hAnsi="宋体" w:eastAsia="宋体"/>
          <w:color w:val="000000" w:themeColor="text1"/>
          <w:kern w:val="0"/>
          <w:highlight w:val="none"/>
          <w:lang w:eastAsia="zh-CN"/>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2.5、交货（服务）期：</w:t>
      </w:r>
      <w:r>
        <w:rPr>
          <w:rFonts w:hint="eastAsia" w:ascii="宋体" w:hAnsi="宋体"/>
          <w:color w:val="000000" w:themeColor="text1"/>
          <w:kern w:val="0"/>
          <w:highlight w:val="none"/>
          <w:lang w:val="en-US" w:eastAsia="zh-CN"/>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 xml:space="preserve"> 自签订合同之日起30日历天内完成供货、安装、调试及其伴随服务</w:t>
      </w:r>
    </w:p>
    <w:p>
      <w:pPr>
        <w:widowControl/>
        <w:shd w:val="clear" w:color="auto" w:fill="FFFFFF"/>
        <w:spacing w:line="360" w:lineRule="auto"/>
        <w:ind w:firstLine="42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2.6、供货地点：采购人指定地点</w:t>
      </w:r>
    </w:p>
    <w:p>
      <w:pPr>
        <w:widowControl/>
        <w:shd w:val="clear" w:color="auto" w:fill="FFFFFF"/>
        <w:spacing w:line="360" w:lineRule="auto"/>
        <w:ind w:firstLine="42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2.7、质量要求：符合国家相关行业标准</w:t>
      </w:r>
    </w:p>
    <w:p>
      <w:pPr>
        <w:widowControl/>
        <w:shd w:val="clear" w:color="auto" w:fill="FFFFFF"/>
        <w:spacing w:line="360" w:lineRule="auto"/>
        <w:ind w:firstLine="420"/>
        <w:jc w:val="left"/>
        <w:rPr>
          <w:rFonts w:hint="eastAsia" w:ascii="宋体" w:hAnsi="宋体"/>
          <w:color w:val="000000" w:themeColor="text1"/>
          <w:kern w:val="0"/>
          <w:highlight w:val="none"/>
          <w:lang w:val="en-US" w:eastAsia="zh-CN"/>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2.8、质保期：</w:t>
      </w:r>
      <w:r>
        <w:rPr>
          <w:rFonts w:hint="eastAsia" w:ascii="宋体" w:hAnsi="宋体"/>
          <w:color w:val="000000" w:themeColor="text1"/>
          <w:kern w:val="0"/>
          <w:highlight w:val="none"/>
          <w:lang w:val="en-US" w:eastAsia="zh-CN"/>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驻场服务期限3年（从验收合格之日算起）驻场人员不得低于2人</w:t>
      </w:r>
      <w:r>
        <w:rPr>
          <w:rFonts w:hint="eastAsia" w:ascii="宋体" w:hAnsi="宋体"/>
          <w:color w:val="000000" w:themeColor="text1"/>
          <w:kern w:val="0"/>
          <w:highlight w:val="none"/>
          <w:lang w:val="en-US" w:eastAsia="zh-CN"/>
          <w14:textFill>
            <w14:solidFill>
              <w14:schemeClr w14:val="tx1"/>
            </w14:solidFill>
          </w14:textFill>
        </w:rPr>
        <w:t xml:space="preserve"> </w:t>
      </w:r>
    </w:p>
    <w:p>
      <w:pPr>
        <w:widowControl/>
        <w:shd w:val="clear" w:color="auto" w:fill="FFFFFF"/>
        <w:spacing w:line="360" w:lineRule="auto"/>
        <w:ind w:firstLine="42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2.9、标段划分：共分1个标段</w:t>
      </w:r>
    </w:p>
    <w:p>
      <w:pPr>
        <w:widowControl/>
        <w:shd w:val="clear" w:color="auto" w:fill="FFFFFF"/>
        <w:spacing w:line="360" w:lineRule="auto"/>
        <w:ind w:firstLine="42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开封市公安局业务技术用房配套附属工程情指联勤中心智能化项目</w:t>
      </w:r>
    </w:p>
    <w:p>
      <w:pPr>
        <w:widowControl/>
        <w:shd w:val="clear" w:color="auto" w:fill="FFFFFF"/>
        <w:spacing w:line="360" w:lineRule="auto"/>
        <w:jc w:val="left"/>
        <w:rPr>
          <w:rFonts w:hint="eastAsia"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 xml:space="preserve">三、资格要求 </w:t>
      </w:r>
    </w:p>
    <w:p>
      <w:pPr>
        <w:widowControl/>
        <w:shd w:val="clear" w:color="auto" w:fill="FFFFFF"/>
        <w:spacing w:line="360" w:lineRule="auto"/>
        <w:ind w:firstLine="420" w:firstLineChars="200"/>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3.1、投标人应遵守有关的国家法律、法规和条例，符合《中华人民共和国政府采购法》第二十二条的规定；</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（一）具有独立承担民事责任的能力；（有效的营业执照）</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（二）具有良好的商业信誉和健全的财务会计制度,（2018年度财务审计报告）</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（三）具有履行合同所必需的设备和专业技术能力；（相关承诺；格式自拟）</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（四）有依法缴纳税收和社会保障资金的良好记录；（2019年连续6个月以上缴纳证明）</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（五）参加政府采购活动前三年内，在经营活动中没有违法记录；（相关承诺；格式自拟）</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（六）法律、行政法规规定的其他条件。（相关承诺；格式自拟）</w:t>
      </w:r>
      <w:r>
        <w:rPr>
          <w:rFonts w:hint="eastAsia" w:ascii="宋体" w:hAnsi="宋体"/>
          <w:color w:val="000000" w:themeColor="text1"/>
          <w:kern w:val="0"/>
          <w:highlight w:val="none"/>
          <w14:textFill>
            <w14:solidFill>
              <w14:schemeClr w14:val="tx1"/>
            </w14:solidFill>
          </w14:textFill>
        </w:rPr>
        <w:tab/>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3.2、投标人必须具有电子与智能化工程专业承包贰级及以上资质或具有建筑智能化工程设计与施工贰级及以上资质；具有有效的安全生产许可证。并在人员设备资金等方面具有相应的施工能力；</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3.3、拟派项目经理具有机电工程（或通信与广电工程）专业贰级及以上注册建造师执业资格证书；具有有效的安全生产考核合格证，且无在建工程。</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3.4、根据《财政部关于在政府采购活动中查询及使用信用记录有关问题的通知》（财库[2016]125号）规定，将对潜在供应商进行信用记录查询，对列入失信被执行人、重大税收违法案件当事人名单、政府采购严重违法失信行为记录名单、企业经营异常名录的供应商，拒绝其参与政府采购活动。（查询网站为“信用中国”网站《www.creditchina.gov.cn》、中国政府采购网《www.ccgp.gov.cn》），供应商提供查询截图,</w:t>
      </w:r>
      <w:r>
        <w:rPr>
          <w:rFonts w:hint="eastAsia" w:ascii="宋体" w:hAnsi="宋体"/>
          <w:color w:val="000000" w:themeColor="text1"/>
          <w:highlight w:val="none"/>
          <w14:textFill>
            <w14:solidFill>
              <w14:schemeClr w14:val="tx1"/>
            </w14:solidFill>
          </w14:textFill>
        </w:rPr>
        <w:t xml:space="preserve"> 查询日期在招标公告发布之日后</w:t>
      </w:r>
      <w:r>
        <w:rPr>
          <w:rFonts w:hint="eastAsia" w:ascii="宋体" w:hAnsi="宋体"/>
          <w:color w:val="000000" w:themeColor="text1"/>
          <w:kern w:val="0"/>
          <w:highlight w:val="none"/>
          <w14:textFill>
            <w14:solidFill>
              <w14:schemeClr w14:val="tx1"/>
            </w14:solidFill>
          </w14:textFill>
        </w:rPr>
        <w:t>。</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3.5、所有要求的证件、证明等资料在投标文件中需提供原件扫描件。</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3.6、本项目不接受联合体投标。</w:t>
      </w:r>
      <w:bookmarkStart w:id="26" w:name="_Toc395780595"/>
      <w:bookmarkEnd w:id="26"/>
      <w:bookmarkStart w:id="27" w:name="_Toc3578"/>
      <w:bookmarkEnd w:id="27"/>
      <w:bookmarkStart w:id="28" w:name="_Toc390682633"/>
      <w:bookmarkEnd w:id="28"/>
      <w:bookmarkStart w:id="29" w:name="_Toc395780720"/>
      <w:bookmarkEnd w:id="29"/>
    </w:p>
    <w:p>
      <w:pPr>
        <w:widowControl/>
        <w:shd w:val="clear" w:color="auto" w:fill="FFFFFF"/>
        <w:spacing w:line="360" w:lineRule="auto"/>
        <w:ind w:left="211" w:hanging="211" w:hanging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 xml:space="preserve">四、招标文件的获取 </w:t>
      </w:r>
      <w:r>
        <w:rPr>
          <w:rFonts w:hint="eastAsia" w:ascii="宋体" w:hAnsi="宋体"/>
          <w:b/>
          <w:bCs/>
          <w:color w:val="000000" w:themeColor="text1"/>
          <w:kern w:val="0"/>
          <w:highlight w:val="none"/>
          <w14:textFill>
            <w14:solidFill>
              <w14:schemeClr w14:val="tx1"/>
            </w14:solidFill>
          </w14:textFill>
        </w:rPr>
        <w:br w:type="textWrapping"/>
      </w:r>
      <w:r>
        <w:rPr>
          <w:rFonts w:hint="eastAsia" w:ascii="宋体" w:hAnsi="宋体"/>
          <w:color w:val="000000" w:themeColor="text1"/>
          <w:kern w:val="0"/>
          <w:highlight w:val="none"/>
          <w14:textFill>
            <w14:solidFill>
              <w14:schemeClr w14:val="tx1"/>
            </w14:solidFill>
          </w14:textFill>
        </w:rPr>
        <w:t>4.1 招标文件下载时间：2020年</w:t>
      </w:r>
      <w:r>
        <w:rPr>
          <w:rFonts w:hint="eastAsia" w:ascii="宋体" w:hAnsi="宋体"/>
          <w:color w:val="000000" w:themeColor="text1"/>
          <w:kern w:val="0"/>
          <w:highlight w:val="none"/>
          <w:lang w:val="en-US" w:eastAsia="zh-CN"/>
          <w14:textFill>
            <w14:solidFill>
              <w14:schemeClr w14:val="tx1"/>
            </w14:solidFill>
          </w14:textFill>
        </w:rPr>
        <w:t>5</w:t>
      </w:r>
      <w:r>
        <w:rPr>
          <w:rFonts w:hint="eastAsia" w:ascii="宋体" w:hAnsi="宋体"/>
          <w:color w:val="000000" w:themeColor="text1"/>
          <w:kern w:val="0"/>
          <w:highlight w:val="none"/>
          <w14:textFill>
            <w14:solidFill>
              <w14:schemeClr w14:val="tx1"/>
            </w14:solidFill>
          </w14:textFill>
        </w:rPr>
        <w:t>月</w:t>
      </w:r>
      <w:r>
        <w:rPr>
          <w:rFonts w:hint="eastAsia" w:ascii="宋体" w:hAnsi="宋体"/>
          <w:color w:val="000000" w:themeColor="text1"/>
          <w:kern w:val="0"/>
          <w:highlight w:val="none"/>
          <w:lang w:val="en-US" w:eastAsia="zh-CN"/>
          <w14:textFill>
            <w14:solidFill>
              <w14:schemeClr w14:val="tx1"/>
            </w14:solidFill>
          </w14:textFill>
        </w:rPr>
        <w:t>26</w:t>
      </w:r>
      <w:r>
        <w:rPr>
          <w:rFonts w:hint="eastAsia" w:ascii="宋体" w:hAnsi="宋体"/>
          <w:color w:val="000000" w:themeColor="text1"/>
          <w:kern w:val="0"/>
          <w:highlight w:val="none"/>
          <w14:textFill>
            <w14:solidFill>
              <w14:schemeClr w14:val="tx1"/>
            </w14:solidFill>
          </w14:textFill>
        </w:rPr>
        <w:t>日9时00分至2020年</w:t>
      </w:r>
      <w:r>
        <w:rPr>
          <w:rFonts w:hint="eastAsia" w:ascii="宋体" w:hAnsi="宋体"/>
          <w:color w:val="000000" w:themeColor="text1"/>
          <w:kern w:val="0"/>
          <w:highlight w:val="none"/>
          <w:lang w:val="en-US" w:eastAsia="zh-CN"/>
          <w14:textFill>
            <w14:solidFill>
              <w14:schemeClr w14:val="tx1"/>
            </w14:solidFill>
          </w14:textFill>
        </w:rPr>
        <w:t>6</w:t>
      </w:r>
      <w:r>
        <w:rPr>
          <w:rFonts w:hint="eastAsia" w:ascii="宋体" w:hAnsi="宋体"/>
          <w:color w:val="000000" w:themeColor="text1"/>
          <w:kern w:val="0"/>
          <w:highlight w:val="none"/>
          <w14:textFill>
            <w14:solidFill>
              <w14:schemeClr w14:val="tx1"/>
            </w14:solidFill>
          </w14:textFill>
        </w:rPr>
        <w:t>月</w:t>
      </w:r>
      <w:r>
        <w:rPr>
          <w:rFonts w:hint="eastAsia" w:ascii="宋体" w:hAnsi="宋体"/>
          <w:color w:val="000000" w:themeColor="text1"/>
          <w:kern w:val="0"/>
          <w:highlight w:val="none"/>
          <w:lang w:val="en-US" w:eastAsia="zh-CN"/>
          <w14:textFill>
            <w14:solidFill>
              <w14:schemeClr w14:val="tx1"/>
            </w14:solidFill>
          </w14:textFill>
        </w:rPr>
        <w:t>1</w:t>
      </w:r>
      <w:r>
        <w:rPr>
          <w:rFonts w:hint="eastAsia" w:ascii="宋体" w:hAnsi="宋体"/>
          <w:color w:val="000000" w:themeColor="text1"/>
          <w:kern w:val="0"/>
          <w:highlight w:val="none"/>
          <w14:textFill>
            <w14:solidFill>
              <w14:schemeClr w14:val="tx1"/>
            </w14:solidFill>
          </w14:textFill>
        </w:rPr>
        <w:t>日17时00分（北京时间，法定节假日除外）；</w:t>
      </w:r>
      <w:r>
        <w:rPr>
          <w:rFonts w:hint="eastAsia" w:ascii="宋体" w:hAnsi="宋体"/>
          <w:color w:val="000000" w:themeColor="text1"/>
          <w:kern w:val="0"/>
          <w:highlight w:val="none"/>
          <w:lang w:val="en-US" w:eastAsia="zh-CN"/>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4.2招标文件获取方式：投标人应注册成为开封市公共资源交易中心网站会员并取得 CA密钥,凭CA密钥登录开封市公共资源交易网（http://www.kfsggzyjyw.cn）会员系统，按要求下载电子招标文件。投标人未按规定下载电子招标文件的，其投标将被拒绝。</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4.3 获取招标文件后，投标人请到开封市公共资源交易中心网站登录政采、工程业务系统，凭CA密钥登录会员系统，在“组件下载”中下载最新版本的投标文件制作工具安装包，并使用安装后的最新版本投标文件制作工具制作电子投标文件。</w:t>
      </w:r>
    </w:p>
    <w:p>
      <w:pPr>
        <w:widowControl/>
        <w:shd w:val="clear" w:color="auto" w:fill="FFFFFF"/>
        <w:spacing w:line="360" w:lineRule="auto"/>
        <w:jc w:val="left"/>
        <w:rPr>
          <w:rFonts w:hint="eastAsia"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五、投标文件递交截止时间及地点：</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5.1投标人需要递交电子投标文件 。</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5.2电子投标文件上传截止时间 2020 年</w:t>
      </w:r>
      <w:r>
        <w:rPr>
          <w:rFonts w:hint="eastAsia" w:ascii="宋体" w:hAnsi="宋体"/>
          <w:color w:val="000000" w:themeColor="text1"/>
          <w:kern w:val="0"/>
          <w:highlight w:val="none"/>
          <w:lang w:val="en-US" w:eastAsia="zh-CN"/>
          <w14:textFill>
            <w14:solidFill>
              <w14:schemeClr w14:val="tx1"/>
            </w14:solidFill>
          </w14:textFill>
        </w:rPr>
        <w:t>6</w:t>
      </w:r>
      <w:r>
        <w:rPr>
          <w:rFonts w:hint="eastAsia" w:ascii="宋体" w:hAnsi="宋体"/>
          <w:color w:val="000000" w:themeColor="text1"/>
          <w:kern w:val="0"/>
          <w:highlight w:val="none"/>
          <w14:textFill>
            <w14:solidFill>
              <w14:schemeClr w14:val="tx1"/>
            </w14:solidFill>
          </w14:textFill>
        </w:rPr>
        <w:t>月</w:t>
      </w:r>
      <w:r>
        <w:rPr>
          <w:rFonts w:hint="eastAsia" w:ascii="宋体" w:hAnsi="宋体"/>
          <w:color w:val="000000" w:themeColor="text1"/>
          <w:kern w:val="0"/>
          <w:highlight w:val="none"/>
          <w:lang w:val="en-US" w:eastAsia="zh-CN"/>
          <w14:textFill>
            <w14:solidFill>
              <w14:schemeClr w14:val="tx1"/>
            </w14:solidFill>
          </w14:textFill>
        </w:rPr>
        <w:t>10</w:t>
      </w:r>
      <w:r>
        <w:rPr>
          <w:rFonts w:hint="eastAsia" w:ascii="宋体" w:hAnsi="宋体"/>
          <w:color w:val="000000" w:themeColor="text1"/>
          <w:kern w:val="0"/>
          <w:highlight w:val="none"/>
          <w14:textFill>
            <w14:solidFill>
              <w14:schemeClr w14:val="tx1"/>
            </w14:solidFill>
          </w14:textFill>
        </w:rPr>
        <w:t>日上午</w:t>
      </w:r>
      <w:r>
        <w:rPr>
          <w:rFonts w:hint="eastAsia" w:ascii="宋体" w:hAnsi="宋体"/>
          <w:color w:val="000000" w:themeColor="text1"/>
          <w:kern w:val="0"/>
          <w:highlight w:val="none"/>
          <w:lang w:val="en-US" w:eastAsia="zh-CN"/>
          <w14:textFill>
            <w14:solidFill>
              <w14:schemeClr w14:val="tx1"/>
            </w14:solidFill>
          </w14:textFill>
        </w:rPr>
        <w:t>9</w:t>
      </w:r>
      <w:r>
        <w:rPr>
          <w:rFonts w:hint="eastAsia" w:ascii="宋体" w:hAnsi="宋体"/>
          <w:color w:val="000000" w:themeColor="text1"/>
          <w:kern w:val="0"/>
          <w:highlight w:val="none"/>
          <w14:textFill>
            <w14:solidFill>
              <w14:schemeClr w14:val="tx1"/>
            </w14:solidFill>
          </w14:textFill>
        </w:rPr>
        <w:t>时</w:t>
      </w:r>
      <w:r>
        <w:rPr>
          <w:rFonts w:hint="eastAsia" w:ascii="宋体" w:hAnsi="宋体"/>
          <w:color w:val="000000" w:themeColor="text1"/>
          <w:kern w:val="0"/>
          <w:highlight w:val="none"/>
          <w:lang w:val="en-US" w:eastAsia="zh-CN"/>
          <w14:textFill>
            <w14:solidFill>
              <w14:schemeClr w14:val="tx1"/>
            </w14:solidFill>
          </w14:textFill>
        </w:rPr>
        <w:t>1</w:t>
      </w:r>
      <w:r>
        <w:rPr>
          <w:rFonts w:hint="eastAsia" w:ascii="宋体" w:hAnsi="宋体"/>
          <w:color w:val="000000" w:themeColor="text1"/>
          <w:kern w:val="0"/>
          <w:highlight w:val="none"/>
          <w14:textFill>
            <w14:solidFill>
              <w14:schemeClr w14:val="tx1"/>
            </w14:solidFill>
          </w14:textFill>
        </w:rPr>
        <w:t>0分。</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5.3电子投标文件须在投标截止时间前在开封市公共资源交易中心网站（http://www.kfsggzyjyw.cn:8080/ygpt/WebUserLoginIndex.html）会员系统中加密上传；地址：开封市郑开大道与三大街交叉口路北市民之家五楼西B区（开标区）。</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5.4本项目采用“远程不见面”开标方式,投标人投标人无需到达现场提交原件资料、无需到开封市公共资源交易中心现场参加开标会议；投标人应当在开标时间前,登录远程开标大厅,在线准时参加开标活动并进行投标文件解密、答疑澄清等（系统解密时长默认为40分钟，错过解密时长者视为自动放弃本次投标。）</w:t>
      </w:r>
    </w:p>
    <w:p>
      <w:pPr>
        <w:widowControl/>
        <w:shd w:val="clear" w:color="auto" w:fill="FFFFFF"/>
        <w:spacing w:line="360" w:lineRule="auto"/>
        <w:ind w:firstLine="210" w:firstLineChars="1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5.5加密电子投标文件逾期上传或者未上传指定网站的，招标人不予受理。</w:t>
      </w:r>
      <w:r>
        <w:rPr>
          <w:rFonts w:hint="eastAsia" w:ascii="宋体" w:hAnsi="宋体"/>
          <w:color w:val="000000" w:themeColor="text1"/>
          <w:kern w:val="0"/>
          <w:highlight w:val="none"/>
          <w14:textFill>
            <w14:solidFill>
              <w14:schemeClr w14:val="tx1"/>
            </w14:solidFill>
          </w14:textFill>
        </w:rPr>
        <w:br w:type="textWrapping"/>
      </w:r>
      <w:r>
        <w:rPr>
          <w:rFonts w:hint="eastAsia" w:ascii="宋体" w:hAnsi="宋体"/>
          <w:color w:val="000000" w:themeColor="text1"/>
          <w:kern w:val="0"/>
          <w:highlight w:val="none"/>
          <w14:textFill>
            <w14:solidFill>
              <w14:schemeClr w14:val="tx1"/>
            </w14:solidFill>
          </w14:textFill>
        </w:rPr>
        <w:t xml:space="preserve"> 六、 公告发布媒体</w:t>
      </w:r>
      <w:r>
        <w:rPr>
          <w:rFonts w:hint="eastAsia" w:ascii="宋体" w:hAnsi="宋体"/>
          <w:color w:val="000000" w:themeColor="text1"/>
          <w:kern w:val="0"/>
          <w:highlight w:val="none"/>
          <w14:textFill>
            <w14:solidFill>
              <w14:schemeClr w14:val="tx1"/>
            </w14:solidFill>
          </w14:textFill>
        </w:rPr>
        <w:br w:type="textWrapping"/>
      </w:r>
      <w:r>
        <w:rPr>
          <w:rFonts w:hint="eastAsia" w:ascii="宋体" w:hAnsi="宋体"/>
          <w:color w:val="000000" w:themeColor="text1"/>
          <w:kern w:val="0"/>
          <w:highlight w:val="none"/>
          <w14:textFill>
            <w14:solidFill>
              <w14:schemeClr w14:val="tx1"/>
            </w14:solidFill>
          </w14:textFill>
        </w:rPr>
        <w:t xml:space="preserve">   本次招标公告同时在《中国采购与招标网》、《河南省政府采购网》及《开封市公共资源交易信息网》上发布。</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七、联系方式：</w:t>
      </w:r>
    </w:p>
    <w:p>
      <w:pPr>
        <w:widowControl/>
        <w:shd w:val="clear" w:color="auto" w:fill="FFFFFF"/>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招标人：开封市公安局</w:t>
      </w:r>
    </w:p>
    <w:p>
      <w:pPr>
        <w:widowControl/>
        <w:shd w:val="clear" w:color="auto" w:fill="FFFFFF"/>
        <w:spacing w:line="360" w:lineRule="auto"/>
        <w:ind w:firstLine="420" w:firstLineChars="200"/>
        <w:jc w:val="left"/>
        <w:rPr>
          <w:rFonts w:hint="eastAsia"/>
          <w:color w:val="000000" w:themeColor="text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地  址：开封市第九大街与安顺路交叉口东北角</w:t>
      </w:r>
    </w:p>
    <w:p>
      <w:pPr>
        <w:widowControl/>
        <w:shd w:val="clear" w:color="auto" w:fill="FFFFFF"/>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联系人：程先生 、秦先生</w:t>
      </w:r>
    </w:p>
    <w:p>
      <w:pPr>
        <w:widowControl/>
        <w:shd w:val="clear" w:color="auto" w:fill="FFFFFF"/>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电  话：13937806679、18623789797</w:t>
      </w:r>
    </w:p>
    <w:p>
      <w:pPr>
        <w:widowControl/>
        <w:shd w:val="clear" w:color="auto" w:fill="FFFFFF"/>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招标代理机构：河南正坤建设工程咨询有限公司</w:t>
      </w:r>
    </w:p>
    <w:p>
      <w:pPr>
        <w:widowControl/>
        <w:shd w:val="clear" w:color="auto" w:fill="FFFFFF"/>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地 址：焦作市解放区塔南路569号-4付03号</w:t>
      </w:r>
    </w:p>
    <w:p>
      <w:pPr>
        <w:widowControl/>
        <w:shd w:val="clear" w:color="auto" w:fill="FFFFFF"/>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联系人：马先生</w:t>
      </w:r>
    </w:p>
    <w:p>
      <w:pPr>
        <w:widowControl/>
        <w:shd w:val="clear" w:color="auto" w:fill="FFFFFF"/>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电话 ：18738972222 </w:t>
      </w:r>
    </w:p>
    <w:p>
      <w:pPr>
        <w:widowControl/>
        <w:shd w:val="clear" w:color="auto" w:fill="FFFFFF"/>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监督部门：开封市人民政府重点项目管理办公室</w:t>
      </w:r>
    </w:p>
    <w:p>
      <w:pPr>
        <w:widowControl/>
        <w:shd w:val="clear" w:color="auto" w:fill="FFFFFF"/>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联系方式：0371-23388370</w:t>
      </w:r>
    </w:p>
    <w:p>
      <w:pPr>
        <w:widowControl/>
        <w:shd w:val="clear" w:color="auto" w:fill="FFFFFF"/>
        <w:spacing w:before="100" w:beforeAutospacing="1" w:after="100" w:afterAutospacing="1" w:line="360" w:lineRule="auto"/>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 </w:t>
      </w:r>
    </w:p>
    <w:p>
      <w:pPr>
        <w:widowControl/>
        <w:shd w:val="clear" w:color="auto" w:fill="FFFFFF"/>
        <w:spacing w:before="100" w:beforeAutospacing="1" w:after="100" w:afterAutospacing="1" w:line="360" w:lineRule="auto"/>
        <w:rPr>
          <w:rFonts w:hint="eastAsia" w:ascii="_6977_4f53_GB2312" w:hAnsi="_6977_4f53_GB2312" w:cs="宋体"/>
          <w:color w:val="000000" w:themeColor="text1"/>
          <w:kern w:val="0"/>
          <w:sz w:val="24"/>
          <w:highlight w:val="none"/>
          <w14:textFill>
            <w14:solidFill>
              <w14:schemeClr w14:val="tx1"/>
            </w14:solidFill>
          </w14:textFill>
        </w:rPr>
      </w:pPr>
      <w:r>
        <w:rPr>
          <w:rFonts w:ascii="_6977_4f53_GB2312" w:hAnsi="_6977_4f53_GB2312" w:cs="宋体"/>
          <w:color w:val="000000" w:themeColor="text1"/>
          <w:kern w:val="0"/>
          <w:sz w:val="24"/>
          <w:highlight w:val="none"/>
          <w14:textFill>
            <w14:solidFill>
              <w14:schemeClr w14:val="tx1"/>
            </w14:solidFill>
          </w14:textFill>
        </w:rPr>
        <w:t xml:space="preserve"> </w:t>
      </w:r>
    </w:p>
    <w:p>
      <w:pPr>
        <w:autoSpaceDE w:val="0"/>
        <w:autoSpaceDN w:val="0"/>
        <w:spacing w:line="360" w:lineRule="auto"/>
        <w:jc w:val="center"/>
        <w:outlineLvl w:val="0"/>
        <w:rPr>
          <w:rFonts w:ascii="宋体"/>
          <w:b/>
          <w:bCs/>
          <w:color w:val="000000" w:themeColor="text1"/>
          <w:sz w:val="36"/>
          <w:szCs w:val="36"/>
          <w:highlight w:val="none"/>
          <w14:textFill>
            <w14:solidFill>
              <w14:schemeClr w14:val="tx1"/>
            </w14:solidFill>
          </w14:textFill>
        </w:rPr>
      </w:pPr>
      <w:r>
        <w:rPr>
          <w:rFonts w:ascii="_6977_4f53_GB2312" w:hAnsi="_6977_4f53_GB2312" w:cs="宋体"/>
          <w:color w:val="000000" w:themeColor="text1"/>
          <w:kern w:val="0"/>
          <w:sz w:val="24"/>
          <w:highlight w:val="none"/>
          <w14:textFill>
            <w14:solidFill>
              <w14:schemeClr w14:val="tx1"/>
            </w14:solidFill>
          </w14:textFill>
        </w:rPr>
        <w:br w:type="page"/>
      </w:r>
      <w:bookmarkStart w:id="30" w:name="_Toc19086"/>
      <w:bookmarkEnd w:id="30"/>
      <w:bookmarkStart w:id="31" w:name="_Toc25098"/>
      <w:r>
        <w:rPr>
          <w:rFonts w:hint="eastAsia" w:ascii="宋体" w:hAnsi="宋体"/>
          <w:b/>
          <w:bCs/>
          <w:color w:val="000000" w:themeColor="text1"/>
          <w:sz w:val="36"/>
          <w:szCs w:val="36"/>
          <w:highlight w:val="none"/>
          <w14:textFill>
            <w14:solidFill>
              <w14:schemeClr w14:val="tx1"/>
            </w14:solidFill>
          </w14:textFill>
        </w:rPr>
        <w:t>第二章</w:t>
      </w:r>
      <w:r>
        <w:rPr>
          <w:rFonts w:hint="eastAsia" w:ascii="宋体"/>
          <w:b/>
          <w:bCs/>
          <w:color w:val="000000" w:themeColor="text1"/>
          <w:sz w:val="36"/>
          <w:szCs w:val="36"/>
          <w:highlight w:val="none"/>
          <w14:textFill>
            <w14:solidFill>
              <w14:schemeClr w14:val="tx1"/>
            </w14:solidFill>
          </w14:textFill>
        </w:rPr>
        <w:t xml:space="preserve"> </w:t>
      </w:r>
      <w:r>
        <w:rPr>
          <w:rFonts w:hint="eastAsia" w:ascii="宋体" w:hAnsi="宋体"/>
          <w:b/>
          <w:bCs/>
          <w:color w:val="000000" w:themeColor="text1"/>
          <w:sz w:val="36"/>
          <w:szCs w:val="36"/>
          <w:highlight w:val="none"/>
          <w14:textFill>
            <w14:solidFill>
              <w14:schemeClr w14:val="tx1"/>
            </w14:solidFill>
          </w14:textFill>
        </w:rPr>
        <w:t>供应商须知</w:t>
      </w:r>
      <w:bookmarkEnd w:id="31"/>
    </w:p>
    <w:p>
      <w:pPr>
        <w:pStyle w:val="2"/>
        <w:spacing w:line="360" w:lineRule="auto"/>
        <w:jc w:val="center"/>
        <w:outlineLvl w:val="2"/>
        <w:rPr>
          <w:rFonts w:hint="eastAsia" w:ascii="黑体" w:hAnsi="新宋体" w:eastAsia="黑体"/>
          <w:b/>
          <w:bCs/>
          <w:color w:val="000000" w:themeColor="text1"/>
          <w:sz w:val="28"/>
          <w:szCs w:val="28"/>
          <w:highlight w:val="none"/>
          <w14:textFill>
            <w14:solidFill>
              <w14:schemeClr w14:val="tx1"/>
            </w14:solidFill>
          </w14:textFill>
        </w:rPr>
      </w:pPr>
      <w:bookmarkStart w:id="32" w:name="_Toc9863"/>
      <w:bookmarkEnd w:id="32"/>
      <w:bookmarkStart w:id="33" w:name="_Toc239762525"/>
      <w:bookmarkEnd w:id="33"/>
      <w:bookmarkStart w:id="34" w:name="_Toc296678536"/>
      <w:bookmarkEnd w:id="34"/>
      <w:bookmarkStart w:id="35" w:name="_Toc296674420"/>
      <w:r>
        <w:rPr>
          <w:rFonts w:hint="eastAsia" w:hAnsi="宋体"/>
          <w:b/>
          <w:bCs/>
          <w:color w:val="000000" w:themeColor="text1"/>
          <w:sz w:val="28"/>
          <w:szCs w:val="28"/>
          <w:highlight w:val="none"/>
          <w14:textFill>
            <w14:solidFill>
              <w14:schemeClr w14:val="tx1"/>
            </w14:solidFill>
          </w14:textFill>
        </w:rPr>
        <w:t>供应商须知前附表</w:t>
      </w:r>
      <w:bookmarkEnd w:id="35"/>
    </w:p>
    <w:tbl>
      <w:tblPr>
        <w:tblStyle w:val="13"/>
        <w:tblW w:w="10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553"/>
        <w:gridCol w:w="6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条款号</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条款名称</w:t>
            </w:r>
          </w:p>
        </w:tc>
        <w:tc>
          <w:tcPr>
            <w:tcW w:w="6889"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1.1.2</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采购人</w:t>
            </w:r>
          </w:p>
        </w:tc>
        <w:tc>
          <w:tcPr>
            <w:tcW w:w="6889" w:type="dxa"/>
            <w:tcBorders>
              <w:top w:val="single" w:color="auto" w:sz="4" w:space="0"/>
              <w:left w:val="nil"/>
              <w:bottom w:val="single" w:color="auto" w:sz="4" w:space="0"/>
              <w:right w:val="single" w:color="auto" w:sz="4" w:space="0"/>
            </w:tcBorders>
          </w:tcPr>
          <w:p>
            <w:pPr>
              <w:widowControl/>
              <w:shd w:val="clear" w:color="auto" w:fill="FFFFFF"/>
              <w:spacing w:line="360" w:lineRule="auto"/>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招标人：开封市公安局</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联系人：程先生 、秦先生</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电  话：13937806679、18623789797</w:t>
            </w:r>
          </w:p>
          <w:p>
            <w:pPr>
              <w:widowControl/>
              <w:shd w:val="clear" w:color="auto" w:fill="FFFFFF"/>
              <w:spacing w:line="360" w:lineRule="auto"/>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地  址：开封市第九大街与安顺路交叉口东北角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1.1.3</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采购代理机构</w:t>
            </w:r>
          </w:p>
        </w:tc>
        <w:tc>
          <w:tcPr>
            <w:tcW w:w="6889"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招标代理机构：河南正坤建设工程咨询有限公司</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地 址：焦作市解放区塔南路569号-4付03号</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联系人：马先生</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电话 ：18738972222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TimesNewRomanPSMT"/>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1.1.4</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仿宋_GB2312"/>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项目名称</w:t>
            </w:r>
          </w:p>
        </w:tc>
        <w:tc>
          <w:tcPr>
            <w:tcW w:w="6889"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开封市公安局业务技术用房配套附属工程情指联勤中心智能化项目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1.2.1</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资金来源</w:t>
            </w:r>
          </w:p>
        </w:tc>
        <w:tc>
          <w:tcPr>
            <w:tcW w:w="6889"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1.2.2</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资金落实情况</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1.3.1</w:t>
            </w:r>
          </w:p>
        </w:tc>
        <w:tc>
          <w:tcPr>
            <w:tcW w:w="2553"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采购内容</w:t>
            </w:r>
          </w:p>
        </w:tc>
        <w:tc>
          <w:tcPr>
            <w:tcW w:w="6889" w:type="dxa"/>
            <w:tcBorders>
              <w:top w:val="single" w:color="auto" w:sz="4" w:space="0"/>
              <w:left w:val="nil"/>
              <w:bottom w:val="single" w:color="auto" w:sz="4" w:space="0"/>
              <w:right w:val="single" w:color="auto" w:sz="4" w:space="0"/>
            </w:tcBorders>
          </w:tcPr>
          <w:p>
            <w:pPr>
              <w:widowControl/>
              <w:shd w:val="clear" w:color="auto" w:fill="FFFFFF"/>
              <w:spacing w:line="360" w:lineRule="auto"/>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具体清单参数详见招标文件（硬件系统）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TimesNewRomanPSMT"/>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1.3.2</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质量要求</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符合国家相关行业标准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TimesNewRomanPSMT"/>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1.3.3</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仿宋_GB2312"/>
                <w:color w:val="000000" w:themeColor="text1"/>
                <w:kern w:val="0"/>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交货（服务）期</w:t>
            </w:r>
          </w:p>
        </w:tc>
        <w:tc>
          <w:tcPr>
            <w:tcW w:w="6889"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自签订合同之日起30日历天内完成供货、安装、调试及其伴随服务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TimesNewRomanPSMT"/>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1.3.4</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质保期</w:t>
            </w:r>
          </w:p>
        </w:tc>
        <w:tc>
          <w:tcPr>
            <w:tcW w:w="6889"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uto"/>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驻场服务期限3年（从验收合格之日算起）驻场人员不得低于2人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4"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1.4.1</w:t>
            </w:r>
          </w:p>
        </w:tc>
        <w:tc>
          <w:tcPr>
            <w:tcW w:w="2553"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供应商资质条件</w:t>
            </w:r>
          </w:p>
        </w:tc>
        <w:tc>
          <w:tcPr>
            <w:tcW w:w="6889" w:type="dxa"/>
            <w:tcBorders>
              <w:top w:val="single" w:color="auto" w:sz="4" w:space="0"/>
              <w:left w:val="nil"/>
              <w:bottom w:val="single" w:color="auto" w:sz="4" w:space="0"/>
              <w:right w:val="single" w:color="auto" w:sz="4" w:space="0"/>
            </w:tcBorders>
          </w:tcPr>
          <w:p>
            <w:pPr>
              <w:widowControl/>
              <w:shd w:val="clear" w:color="auto" w:fill="FFFFFF"/>
              <w:spacing w:line="360" w:lineRule="auto"/>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1、投标人应遵守有关的国家法律、法规和条例，符合《中华人民共和国政府采购法》第二十二条的规定；</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（一）具有独立承担民事责任的能力；（有效的营业执照）</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（二）具有良好的商业信誉和健全的财务会计制度,（2018年度财务审计报告）</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（三）具有履行合同所必需的设备和专业技术能力；（相关承诺；格式自拟）</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（四）有依法缴纳税收和社会保障资金的良好记录；（2019年连续6个月以上缴纳证明）</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（五）参加政府采购活动前三年内，在经营活动中没有违法记录；（相关承诺；格式自拟）</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（六）法律、行政法规规定的其他条件。（相关承诺；格式自拟）</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2、投标人必须具有电子与智能化工程专业承包贰级及以上资质或具有建筑智能化工程设计与施工贰级及以上资质；具有有效的安全生产许可证。并在人员设备资金等方面具有相应的施工能力；</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3、拟派项目经理具有机电工程（或通信与广电工程）专业贰级及以上注册建造师执业资格证书；具有有效的安全生产考核合格证，且无在建工程。</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4、根据《财政部关于在政府</w:t>
            </w:r>
            <w:r>
              <w:rPr>
                <w:rFonts w:hint="eastAsia" w:ascii="宋体" w:hAnsi="宋体"/>
                <w:color w:val="000000" w:themeColor="text1"/>
                <w:kern w:val="0"/>
                <w:highlight w:val="none"/>
                <w14:textFill>
                  <w14:solidFill>
                    <w14:schemeClr w14:val="tx1"/>
                  </w14:solidFill>
                </w14:textFill>
              </w:rPr>
              <w:t>采购活动中查询及使用信用记录有关问题的通知》（财库[2016]125号）规定，将对潜在供应商进行信用记录查询，对列入失信被执行人、重大税收违法案件当事人名单、政府采购严重违法失信行为记录名单、企业经营异常名录的供应商，拒绝其参与政府采购活动。（查询网站为“信用中国”网站《www.creditchina.gov.cn》、中国政府采购网《www.ccgp.gov.cn》），供应商提供查询截图,</w:t>
            </w:r>
            <w:r>
              <w:rPr>
                <w:rFonts w:hint="eastAsia" w:ascii="宋体" w:hAnsi="宋体"/>
                <w:color w:val="000000" w:themeColor="text1"/>
                <w:highlight w:val="none"/>
                <w14:textFill>
                  <w14:solidFill>
                    <w14:schemeClr w14:val="tx1"/>
                  </w14:solidFill>
                </w14:textFill>
              </w:rPr>
              <w:t xml:space="preserve"> 查询日期在招标公告发布之日后</w:t>
            </w:r>
            <w:r>
              <w:rPr>
                <w:rFonts w:hint="eastAsia" w:ascii="宋体" w:hAnsi="宋体"/>
                <w:color w:val="000000" w:themeColor="text1"/>
                <w:kern w:val="0"/>
                <w:highlight w:val="none"/>
                <w14:textFill>
                  <w14:solidFill>
                    <w14:schemeClr w14:val="tx1"/>
                  </w14:solidFill>
                </w14:textFill>
              </w:rPr>
              <w:t>。</w:t>
            </w:r>
          </w:p>
          <w:p>
            <w:pPr>
              <w:widowControl/>
              <w:shd w:val="clear" w:color="auto" w:fill="FFFFFF"/>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5、所有要求的证件、证明等资料在投标文件中需提供原件扫描件。</w:t>
            </w:r>
          </w:p>
          <w:p>
            <w:pPr>
              <w:widowControl/>
              <w:shd w:val="clear" w:color="auto" w:fill="FFFFFF"/>
              <w:spacing w:line="360" w:lineRule="auto"/>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6、本项目不接受联合体投标。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1.5.1</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投标答疑</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供应商应在开标前10日将需解答的内容以书面形式（加盖单位公章）递交给采购人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1.5.2</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仿宋_GB2312"/>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供应商提出问题的</w:t>
            </w:r>
          </w:p>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截止时间</w:t>
            </w:r>
          </w:p>
        </w:tc>
        <w:tc>
          <w:tcPr>
            <w:tcW w:w="6889"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投标截止时间10天前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1.5.3</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采购人书面澄清的时间</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1.6</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偏离</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不允许以下重大偏离：</w:t>
            </w:r>
          </w:p>
          <w:p>
            <w:pPr>
              <w:spacing w:line="360" w:lineRule="auto"/>
              <w:ind w:firstLine="411" w:firstLineChars="196"/>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经评标委员会审查后投标文件有下列情形之一的，视为未能实质性响应采购文件，应认定为无效标（即废标）：        </w:t>
            </w:r>
          </w:p>
          <w:p>
            <w:pPr>
              <w:spacing w:line="360" w:lineRule="auto"/>
              <w:rPr>
                <w:rFonts w:hint="eastAsia" w:ascii="宋体" w:hAnsi="宋体"/>
                <w:b/>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（1）未按采购招标文件要求签字和盖章的；</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（2）未按规定的格式填写，内容不全或关键字迹模糊、无法辨认的； </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（3）供应商递交两份或多份内容不同的投标文件，或在一份投标文件中对同一采购项目报有两个或多个报价，且未声明哪一个有效，按采购文件规定提交备选投标方案的除外； </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（4）联合体投标的；</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（5）不按评标委员会要求澄清、说明或补正的；</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（6）投标文件载明的采购项目完成交货期超过采购文件规定的期限；</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（7）明显不符合技术规格、技术标准的要求；</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（8）投标文件附加有采购人不能接受的条件的；</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（9）供应商以他人的名义投标、串通投标、欺诈、威胁、以行贿手段或其他弄虚作假方式谋取中标采取可能影响评标公正性的不正当手段的；</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（10）投标报价高于采购控制价的；</w:t>
            </w:r>
          </w:p>
          <w:p>
            <w:pPr>
              <w:spacing w:line="360" w:lineRule="auto"/>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（11）不符合采购文件中规定的其他实质性要求的；</w:t>
            </w:r>
          </w:p>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（12）投标行为违反招标投标法以及相关法律、法规和规定的。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 xml:space="preserve">2.1 </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构成采购文件的其他材料</w:t>
            </w:r>
          </w:p>
        </w:tc>
        <w:tc>
          <w:tcPr>
            <w:tcW w:w="6889"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firstLine="1050" w:firstLineChars="5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采购文件的补充文件（如有）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2.2.1</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spacing w:val="-12"/>
                <w:kern w:val="0"/>
                <w:szCs w:val="21"/>
                <w:highlight w:val="none"/>
                <w14:textFill>
                  <w14:solidFill>
                    <w14:schemeClr w14:val="tx1"/>
                  </w14:solidFill>
                </w14:textFill>
              </w:rPr>
            </w:pPr>
            <w:r>
              <w:rPr>
                <w:rFonts w:hint="eastAsia" w:ascii="宋体" w:hAnsi="宋体" w:cs="仿宋_GB2312"/>
                <w:color w:val="000000" w:themeColor="text1"/>
                <w:spacing w:val="-12"/>
                <w:kern w:val="0"/>
                <w:highlight w:val="none"/>
                <w14:textFill>
                  <w14:solidFill>
                    <w14:schemeClr w14:val="tx1"/>
                  </w14:solidFill>
                </w14:textFill>
              </w:rPr>
              <w:t>供应商要求澄清采购文件的截止时间</w:t>
            </w:r>
          </w:p>
        </w:tc>
        <w:tc>
          <w:tcPr>
            <w:tcW w:w="6889"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firstLine="1050" w:firstLineChars="5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递交投标文件的截止之日10日前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2.2.2</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仿宋_GB2312"/>
                <w:color w:val="000000" w:themeColor="text1"/>
                <w:spacing w:val="-14"/>
                <w:kern w:val="0"/>
                <w:szCs w:val="21"/>
                <w:highlight w:val="none"/>
                <w14:textFill>
                  <w14:solidFill>
                    <w14:schemeClr w14:val="tx1"/>
                  </w14:solidFill>
                </w14:textFill>
              </w:rPr>
            </w:pPr>
            <w:r>
              <w:rPr>
                <w:rFonts w:hint="eastAsia" w:ascii="宋体" w:hAnsi="宋体" w:cs="仿宋_GB2312"/>
                <w:color w:val="000000" w:themeColor="text1"/>
                <w:spacing w:val="-14"/>
                <w:kern w:val="0"/>
                <w:highlight w:val="none"/>
                <w14:textFill>
                  <w14:solidFill>
                    <w14:schemeClr w14:val="tx1"/>
                  </w14:solidFill>
                </w14:textFill>
              </w:rPr>
              <w:t xml:space="preserve">         投标截止时间</w:t>
            </w:r>
          </w:p>
        </w:tc>
        <w:tc>
          <w:tcPr>
            <w:tcW w:w="6889"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firstLine="1092" w:firstLineChars="600"/>
              <w:rPr>
                <w:rFonts w:ascii="宋体" w:hAnsi="宋体" w:cs="仿宋_GB2312"/>
                <w:color w:val="000000" w:themeColor="text1"/>
                <w:spacing w:val="-14"/>
                <w:kern w:val="0"/>
                <w:szCs w:val="21"/>
                <w:highlight w:val="none"/>
                <w14:textFill>
                  <w14:solidFill>
                    <w14:schemeClr w14:val="tx1"/>
                  </w14:solidFill>
                </w14:textFill>
              </w:rPr>
            </w:pPr>
            <w:r>
              <w:rPr>
                <w:rFonts w:hint="eastAsia" w:ascii="宋体" w:hAnsi="宋体" w:cs="仿宋_GB2312"/>
                <w:color w:val="000000" w:themeColor="text1"/>
                <w:spacing w:val="-14"/>
                <w:kern w:val="0"/>
                <w:highlight w:val="none"/>
                <w14:textFill>
                  <w14:solidFill>
                    <w14:schemeClr w14:val="tx1"/>
                  </w14:solidFill>
                </w14:textFill>
              </w:rPr>
              <w:t>2020 年</w:t>
            </w:r>
            <w:r>
              <w:rPr>
                <w:rFonts w:hint="eastAsia" w:ascii="宋体" w:hAnsi="宋体" w:cs="仿宋_GB2312"/>
                <w:color w:val="000000" w:themeColor="text1"/>
                <w:spacing w:val="-14"/>
                <w:kern w:val="0"/>
                <w:highlight w:val="none"/>
                <w:lang w:val="en-US" w:eastAsia="zh-CN"/>
                <w14:textFill>
                  <w14:solidFill>
                    <w14:schemeClr w14:val="tx1"/>
                  </w14:solidFill>
                </w14:textFill>
              </w:rPr>
              <w:t>6</w:t>
            </w:r>
            <w:r>
              <w:rPr>
                <w:rFonts w:hint="eastAsia" w:ascii="宋体" w:hAnsi="宋体" w:cs="仿宋_GB2312"/>
                <w:color w:val="000000" w:themeColor="text1"/>
                <w:spacing w:val="-14"/>
                <w:kern w:val="0"/>
                <w:highlight w:val="none"/>
                <w14:textFill>
                  <w14:solidFill>
                    <w14:schemeClr w14:val="tx1"/>
                  </w14:solidFill>
                </w14:textFill>
              </w:rPr>
              <w:t>月</w:t>
            </w:r>
            <w:r>
              <w:rPr>
                <w:rFonts w:hint="eastAsia" w:ascii="宋体" w:hAnsi="宋体" w:cs="仿宋_GB2312"/>
                <w:color w:val="000000" w:themeColor="text1"/>
                <w:spacing w:val="-14"/>
                <w:kern w:val="0"/>
                <w:highlight w:val="none"/>
                <w:lang w:val="en-US" w:eastAsia="zh-CN"/>
                <w14:textFill>
                  <w14:solidFill>
                    <w14:schemeClr w14:val="tx1"/>
                  </w14:solidFill>
                </w14:textFill>
              </w:rPr>
              <w:t>10</w:t>
            </w:r>
            <w:r>
              <w:rPr>
                <w:rFonts w:hint="eastAsia" w:ascii="宋体" w:hAnsi="宋体" w:cs="仿宋_GB2312"/>
                <w:color w:val="000000" w:themeColor="text1"/>
                <w:spacing w:val="-14"/>
                <w:kern w:val="0"/>
                <w:highlight w:val="none"/>
                <w14:textFill>
                  <w14:solidFill>
                    <w14:schemeClr w14:val="tx1"/>
                  </w14:solidFill>
                </w14:textFill>
              </w:rPr>
              <w:t>日上午</w:t>
            </w:r>
            <w:r>
              <w:rPr>
                <w:rFonts w:hint="eastAsia" w:ascii="宋体" w:hAnsi="宋体" w:cs="仿宋_GB2312"/>
                <w:color w:val="000000" w:themeColor="text1"/>
                <w:spacing w:val="-14"/>
                <w:kern w:val="0"/>
                <w:highlight w:val="none"/>
                <w:lang w:val="en-US" w:eastAsia="zh-CN"/>
                <w14:textFill>
                  <w14:solidFill>
                    <w14:schemeClr w14:val="tx1"/>
                  </w14:solidFill>
                </w14:textFill>
              </w:rPr>
              <w:t>9</w:t>
            </w:r>
            <w:r>
              <w:rPr>
                <w:rFonts w:hint="eastAsia" w:ascii="宋体" w:hAnsi="宋体" w:cs="仿宋_GB2312"/>
                <w:color w:val="000000" w:themeColor="text1"/>
                <w:spacing w:val="-14"/>
                <w:kern w:val="0"/>
                <w:highlight w:val="none"/>
                <w14:textFill>
                  <w14:solidFill>
                    <w14:schemeClr w14:val="tx1"/>
                  </w14:solidFill>
                </w14:textFill>
              </w:rPr>
              <w:t>时</w:t>
            </w:r>
            <w:r>
              <w:rPr>
                <w:rFonts w:hint="eastAsia" w:ascii="宋体" w:hAnsi="宋体" w:cs="仿宋_GB2312"/>
                <w:color w:val="000000" w:themeColor="text1"/>
                <w:spacing w:val="-14"/>
                <w:kern w:val="0"/>
                <w:highlight w:val="none"/>
                <w:lang w:val="en-US" w:eastAsia="zh-CN"/>
                <w14:textFill>
                  <w14:solidFill>
                    <w14:schemeClr w14:val="tx1"/>
                  </w14:solidFill>
                </w14:textFill>
              </w:rPr>
              <w:t>1</w:t>
            </w:r>
            <w:r>
              <w:rPr>
                <w:rFonts w:hint="eastAsia" w:ascii="宋体" w:hAnsi="宋体" w:cs="仿宋_GB2312"/>
                <w:color w:val="000000" w:themeColor="text1"/>
                <w:spacing w:val="-14"/>
                <w:kern w:val="0"/>
                <w:highlight w:val="none"/>
                <w14:textFill>
                  <w14:solidFill>
                    <w14:schemeClr w14:val="tx1"/>
                  </w14:solidFill>
                </w14:textFill>
              </w:rPr>
              <w:t>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2.2.3</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spacing w:val="-14"/>
                <w:kern w:val="0"/>
                <w:szCs w:val="21"/>
                <w:highlight w:val="none"/>
                <w14:textFill>
                  <w14:solidFill>
                    <w14:schemeClr w14:val="tx1"/>
                  </w14:solidFill>
                </w14:textFill>
              </w:rPr>
            </w:pPr>
            <w:r>
              <w:rPr>
                <w:rFonts w:hint="eastAsia" w:ascii="宋体" w:hAnsi="宋体" w:cs="仿宋_GB2312"/>
                <w:color w:val="000000" w:themeColor="text1"/>
                <w:spacing w:val="-14"/>
                <w:kern w:val="0"/>
                <w:highlight w:val="none"/>
                <w14:textFill>
                  <w14:solidFill>
                    <w14:schemeClr w14:val="tx1"/>
                  </w14:solidFill>
                </w14:textFill>
              </w:rPr>
              <w:t>供应商确认收到采购文件澄清的时间</w:t>
            </w:r>
          </w:p>
        </w:tc>
        <w:tc>
          <w:tcPr>
            <w:tcW w:w="6889"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firstLine="1050" w:firstLineChars="5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采购文件的补充文件发出之日1日内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2.3.2</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spacing w:val="-14"/>
                <w:kern w:val="0"/>
                <w:szCs w:val="21"/>
                <w:highlight w:val="none"/>
                <w14:textFill>
                  <w14:solidFill>
                    <w14:schemeClr w14:val="tx1"/>
                  </w14:solidFill>
                </w14:textFill>
              </w:rPr>
            </w:pPr>
            <w:r>
              <w:rPr>
                <w:rFonts w:hint="eastAsia" w:ascii="宋体" w:hAnsi="宋体" w:cs="仿宋_GB2312"/>
                <w:color w:val="000000" w:themeColor="text1"/>
                <w:spacing w:val="-14"/>
                <w:kern w:val="0"/>
                <w:highlight w:val="none"/>
                <w14:textFill>
                  <w14:solidFill>
                    <w14:schemeClr w14:val="tx1"/>
                  </w14:solidFill>
                </w14:textFill>
              </w:rPr>
              <w:t>供应商确认收到采购文件修改的时间</w:t>
            </w:r>
          </w:p>
        </w:tc>
        <w:tc>
          <w:tcPr>
            <w:tcW w:w="6889"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ind w:firstLine="1050" w:firstLineChars="5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采购文件的补充文件发出之日1日内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3.1.1</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构成投标文件的其他材料</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ind w:firstLine="2310" w:firstLineChars="11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color w:val="000000" w:themeColor="text1"/>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3.3.1</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投标有效期</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60日历天（投标截止之日起）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3.6.3</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投标文件签字或盖章要求</w:t>
            </w:r>
          </w:p>
        </w:tc>
        <w:tc>
          <w:tcPr>
            <w:tcW w:w="6889"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电子投标文件要求：电子投标文件全部采用电子文档，投标文件所附的证书证件均为原件扫描件并加盖投标企业电子章；并按采购文件要求在相应位置加盖电子签章或签名，由投标人的法定代表人签字或加盖电子签章的，应附法定代表人身份证明，由代理人签字或加盖电子签章的，应附由法定代表人签署的授权委托书。</w:t>
            </w:r>
          </w:p>
          <w:p>
            <w:pPr>
              <w:autoSpaceDE w:val="0"/>
              <w:autoSpaceDN w:val="0"/>
              <w:adjustRightIn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2、电子投标文件中所附原件扫描件资料均需加盖企业电子签章。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3.6.4</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投标文件份数</w:t>
            </w:r>
          </w:p>
        </w:tc>
        <w:tc>
          <w:tcPr>
            <w:tcW w:w="6889"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投标人必须在投标截止时间前提供：</w:t>
            </w:r>
          </w:p>
          <w:p>
            <w:pPr>
              <w:autoSpaceDE w:val="0"/>
              <w:autoSpaceDN w:val="0"/>
              <w:adjustRightIn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加密的电子投标文件壹份（在开封市公共资源交易网会员系统指定位置上传）；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4.2.3</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是否退还投标文件</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5.1</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开标时间和地点</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开标时间：同投标截止时间</w:t>
            </w:r>
          </w:p>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开标地点：</w:t>
            </w:r>
            <w:r>
              <w:rPr>
                <w:rFonts w:hint="eastAsia" w:ascii="宋体" w:hAnsi="宋体"/>
                <w:color w:val="000000" w:themeColor="text1"/>
                <w:kern w:val="0"/>
                <w:highlight w:val="none"/>
                <w14:textFill>
                  <w14:solidFill>
                    <w14:schemeClr w14:val="tx1"/>
                  </w14:solidFill>
                </w14:textFill>
              </w:rPr>
              <w:t>本项目采用远程不见面开标方式，详见招标公告第十项规定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 xml:space="preserve">5.2 </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开标程序</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密封情况检查：招标人代表、投标人代表、监督人员</w:t>
            </w:r>
          </w:p>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开标顺序：递交投标文件先后的逆顺序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 xml:space="preserve">6.1.1 </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评标委员会的组建</w:t>
            </w:r>
          </w:p>
        </w:tc>
        <w:tc>
          <w:tcPr>
            <w:tcW w:w="6889"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评标委员会构成:</w:t>
            </w:r>
            <w:r>
              <w:rPr>
                <w:rFonts w:hint="eastAsia" w:ascii="宋体" w:hAnsi="宋体"/>
                <w:color w:val="000000" w:themeColor="text1"/>
                <w:highlight w:val="none"/>
                <w:u w:val="single"/>
                <w14:textFill>
                  <w14:solidFill>
                    <w14:schemeClr w14:val="tx1"/>
                  </w14:solidFill>
                </w14:textFill>
              </w:rPr>
              <w:t xml:space="preserve"> 7</w:t>
            </w:r>
            <w:r>
              <w:rPr>
                <w:rFonts w:hint="eastAsia" w:ascii="宋体" w:hAnsi="宋体"/>
                <w:color w:val="000000" w:themeColor="text1"/>
                <w:highlight w:val="none"/>
                <w14:textFill>
                  <w14:solidFill>
                    <w14:schemeClr w14:val="tx1"/>
                  </w14:solidFill>
                </w14:textFill>
              </w:rPr>
              <w:t>人，其中采购人代表</w:t>
            </w:r>
            <w:r>
              <w:rPr>
                <w:rFonts w:hint="eastAsia" w:ascii="宋体" w:hAnsi="宋体"/>
                <w:color w:val="000000" w:themeColor="text1"/>
                <w:highlight w:val="none"/>
                <w:u w:val="single"/>
                <w14:textFill>
                  <w14:solidFill>
                    <w14:schemeClr w14:val="tx1"/>
                  </w14:solidFill>
                </w14:textFill>
              </w:rPr>
              <w:t xml:space="preserve"> 2 </w:t>
            </w:r>
            <w:r>
              <w:rPr>
                <w:rFonts w:hint="eastAsia" w:ascii="宋体" w:hAnsi="宋体"/>
                <w:color w:val="000000" w:themeColor="text1"/>
                <w:highlight w:val="none"/>
                <w14:textFill>
                  <w14:solidFill>
                    <w14:schemeClr w14:val="tx1"/>
                  </w14:solidFill>
                </w14:textFill>
              </w:rPr>
              <w:t>人,专家</w:t>
            </w:r>
            <w:r>
              <w:rPr>
                <w:rFonts w:hint="eastAsia" w:ascii="宋体" w:hAnsi="宋体"/>
                <w:color w:val="000000" w:themeColor="text1"/>
                <w:highlight w:val="none"/>
                <w:u w:val="single"/>
                <w14:textFill>
                  <w14:solidFill>
                    <w14:schemeClr w14:val="tx1"/>
                  </w14:solidFill>
                </w14:textFill>
              </w:rPr>
              <w:t>5</w:t>
            </w:r>
            <w:r>
              <w:rPr>
                <w:rFonts w:hint="eastAsia" w:ascii="宋体" w:hAnsi="宋体"/>
                <w:color w:val="000000" w:themeColor="text1"/>
                <w:highlight w:val="none"/>
                <w14:textFill>
                  <w14:solidFill>
                    <w14:schemeClr w14:val="tx1"/>
                  </w14:solidFill>
                </w14:textFill>
              </w:rPr>
              <w:t>人(包含经济专家1人)；</w:t>
            </w:r>
          </w:p>
          <w:p>
            <w:pPr>
              <w:autoSpaceDE w:val="0"/>
              <w:autoSpaceDN w:val="0"/>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pacing w:val="-6"/>
                <w:highlight w:val="none"/>
                <w14:textFill>
                  <w14:solidFill>
                    <w14:schemeClr w14:val="tx1"/>
                  </w14:solidFill>
                </w14:textFill>
              </w:rPr>
              <w:t>评标专家确定方式：</w:t>
            </w:r>
            <w:r>
              <w:rPr>
                <w:rFonts w:hint="eastAsia" w:ascii="宋体" w:hAnsi="宋体"/>
                <w:color w:val="000000" w:themeColor="text1"/>
                <w:highlight w:val="none"/>
                <w14:textFill>
                  <w14:solidFill>
                    <w14:schemeClr w14:val="tx1"/>
                  </w14:solidFill>
                </w14:textFill>
              </w:rPr>
              <w:t>在省级相关评标专家库中随机抽取。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7.1</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是否授权评标委员会确定中标人</w:t>
            </w:r>
          </w:p>
        </w:tc>
        <w:tc>
          <w:tcPr>
            <w:tcW w:w="6889"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否，推荐的中标候选人数：1-3名</w:t>
            </w:r>
          </w:p>
          <w:p>
            <w:pPr>
              <w:autoSpaceDE w:val="0"/>
              <w:autoSpaceDN w:val="0"/>
              <w:adjustRightIn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依法必须招标的项目，招标人应当确定排名第一的中标候选人为中标人。排名第一的中标候选人放弃中标、因不可抗力提出不能履行合同，或者招标文件规定应当提交履约保证金， 或者被查实存在影响中标结果的违法行为等情形，不符合中标条件的，招标人可以按照评标委员会提出的中标候选人名单排序依次确定其他中标候选人为中标人，也可以重新招标。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TimesNewRomanPSMT"/>
                <w:color w:val="000000" w:themeColor="text1"/>
                <w:kern w:val="0"/>
                <w:sz w:val="24"/>
                <w:highlight w:val="none"/>
                <w14:textFill>
                  <w14:solidFill>
                    <w14:schemeClr w14:val="tx1"/>
                  </w14:solidFill>
                </w14:textFill>
              </w:rPr>
            </w:pPr>
            <w:r>
              <w:rPr>
                <w:rFonts w:hint="eastAsia" w:ascii="宋体" w:hAnsi="宋体" w:cs="TimesNewRomanPSMT"/>
                <w:color w:val="000000" w:themeColor="text1"/>
                <w:kern w:val="0"/>
                <w:sz w:val="24"/>
                <w:highlight w:val="none"/>
                <w14:textFill>
                  <w14:solidFill>
                    <w14:schemeClr w14:val="tx1"/>
                  </w14:solidFill>
                </w14:textFill>
              </w:rPr>
              <w:t>8</w:t>
            </w:r>
          </w:p>
        </w:tc>
        <w:tc>
          <w:tcPr>
            <w:tcW w:w="2553"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签订合同</w:t>
            </w:r>
          </w:p>
        </w:tc>
        <w:tc>
          <w:tcPr>
            <w:tcW w:w="6889" w:type="dxa"/>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采购人和中标人应当自中标通知书发出之日起30 天内，根据采购文件和中标人的投标文件订立书面合同。中标人无正当理由拒签合同的，采购人取消其中标资格。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TimesNewRomanPSMT"/>
                <w:color w:val="000000" w:themeColor="text1"/>
                <w:kern w:val="0"/>
                <w:szCs w:val="21"/>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9</w:t>
            </w:r>
          </w:p>
        </w:tc>
        <w:tc>
          <w:tcPr>
            <w:tcW w:w="2553"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付款方式</w:t>
            </w:r>
          </w:p>
        </w:tc>
        <w:tc>
          <w:tcPr>
            <w:tcW w:w="6889" w:type="dxa"/>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签订合同时具体商定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
                <w:bCs/>
                <w:color w:val="000000" w:themeColor="text1"/>
                <w:kern w:val="0"/>
                <w:szCs w:val="21"/>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10</w:t>
            </w:r>
          </w:p>
        </w:tc>
        <w:tc>
          <w:tcPr>
            <w:tcW w:w="255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仿宋_GB2312"/>
                <w:b/>
                <w:bCs/>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投标预备会</w:t>
            </w:r>
          </w:p>
        </w:tc>
        <w:tc>
          <w:tcPr>
            <w:tcW w:w="6889" w:type="dxa"/>
            <w:tcBorders>
              <w:top w:val="single" w:color="auto" w:sz="4" w:space="0"/>
              <w:left w:val="nil"/>
              <w:bottom w:val="single" w:color="auto" w:sz="4" w:space="0"/>
              <w:right w:val="single" w:color="auto" w:sz="4" w:space="0"/>
            </w:tcBorders>
          </w:tcPr>
          <w:p>
            <w:pPr>
              <w:autoSpaceDE w:val="0"/>
              <w:autoSpaceDN w:val="0"/>
              <w:adjustRightInd w:val="0"/>
              <w:spacing w:line="360" w:lineRule="auto"/>
              <w:rPr>
                <w:rFonts w:ascii="宋体" w:hAnsi="宋体" w:cs="仿宋_GB2312"/>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
                <w:bCs/>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11</w:t>
            </w:r>
          </w:p>
        </w:tc>
        <w:tc>
          <w:tcPr>
            <w:tcW w:w="9442"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bookmarkStart w:id="36" w:name="_Toc239762527"/>
            <w:r>
              <w:rPr>
                <w:rFonts w:hint="eastAsia" w:ascii="宋体" w:hAnsi="宋体" w:cs="黑体"/>
                <w:color w:val="000000" w:themeColor="text1"/>
                <w:kern w:val="0"/>
                <w:highlight w:val="none"/>
                <w14:textFill>
                  <w14:solidFill>
                    <w14:schemeClr w14:val="tx1"/>
                  </w14:solidFill>
                </w14:textFill>
              </w:rPr>
              <w:t>11.1</w:t>
            </w:r>
            <w:bookmarkEnd w:id="36"/>
          </w:p>
        </w:tc>
        <w:tc>
          <w:tcPr>
            <w:tcW w:w="2553"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电子投标文件</w:t>
            </w:r>
          </w:p>
        </w:tc>
        <w:tc>
          <w:tcPr>
            <w:tcW w:w="6889"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1、投标人应在投标文件递交的截止时间之前通过开封市公共资源交易信息网递交电子投标文件，并由投标人的法定代表人电子签章和企业电子签章；</w:t>
            </w:r>
          </w:p>
          <w:p>
            <w:pPr>
              <w:widowControl/>
              <w:shd w:val="clear" w:color="auto" w:fill="FFFFFF"/>
              <w:spacing w:line="360" w:lineRule="auto"/>
              <w:ind w:firstLine="420" w:firstLineChars="200"/>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2、请投标人在上传电子投标文件时认真检查上传投标文件是否完整、正确。</w:t>
            </w:r>
          </w:p>
          <w:p>
            <w:pPr>
              <w:widowControl/>
              <w:shd w:val="clear" w:color="auto" w:fill="FFFFFF"/>
              <w:spacing w:line="360" w:lineRule="auto"/>
              <w:ind w:firstLine="420" w:firstLineChars="200"/>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3、请投标人时刻关注开封市公共资源交易中心网站和公司CA密钥推送消息。</w:t>
            </w:r>
          </w:p>
          <w:p>
            <w:pPr>
              <w:widowControl/>
              <w:shd w:val="clear" w:color="auto" w:fill="FFFFFF"/>
              <w:spacing w:line="360" w:lineRule="auto"/>
              <w:ind w:firstLine="420" w:firstLineChars="200"/>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4、加密电子投标文件逾期上传的，招标人不予受理。</w:t>
            </w:r>
          </w:p>
          <w:p>
            <w:pPr>
              <w:widowControl/>
              <w:shd w:val="clear" w:color="auto" w:fill="FFFFFF"/>
              <w:spacing w:line="360" w:lineRule="auto"/>
              <w:ind w:firstLine="420" w:firstLineChars="200"/>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5、按开标程序解密电子投标文件。</w:t>
            </w:r>
          </w:p>
          <w:p>
            <w:pPr>
              <w:widowControl/>
              <w:shd w:val="clear" w:color="auto" w:fill="FFFFFF"/>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备注：投标人的电子投标文件需到开封市公共资源交易中心网站登录政采、工程业务系统，凭CA密钥登录会员系统，在“组件下载”中下载最新版本的投标文件制作工具安装包，并使用安装后的最新版本投标文件制作工具制作电子投标文件（具体操作程序详见</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"http://www.kfsggzyjyw.cn" </w:instrText>
            </w:r>
            <w:r>
              <w:rPr>
                <w:color w:val="000000" w:themeColor="text1"/>
                <w:highlight w:val="none"/>
                <w14:textFill>
                  <w14:solidFill>
                    <w14:schemeClr w14:val="tx1"/>
                  </w14:solidFill>
                </w14:textFill>
              </w:rPr>
              <w:fldChar w:fldCharType="separate"/>
            </w:r>
            <w:r>
              <w:rPr>
                <w:rStyle w:val="15"/>
                <w:color w:val="000000" w:themeColor="text1"/>
                <w:highlight w:val="none"/>
                <w14:textFill>
                  <w14:solidFill>
                    <w14:schemeClr w14:val="tx1"/>
                  </w14:solidFill>
                </w14:textFill>
              </w:rPr>
              <w:t>http://www.kfsggzyjyw.cn</w:t>
            </w:r>
            <w:r>
              <w:rPr>
                <w:rStyle w:val="15"/>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t>办事指南-操作规程）；投标人因交易中心投标系统问题无法上传电子投标文件时，请在工作时间与开封市公共资源交易中心联系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11.2</w:t>
            </w:r>
          </w:p>
        </w:tc>
        <w:tc>
          <w:tcPr>
            <w:tcW w:w="9442" w:type="dxa"/>
            <w:gridSpan w:val="2"/>
            <w:tcBorders>
              <w:top w:val="single" w:color="auto" w:sz="4" w:space="0"/>
              <w:left w:val="nil"/>
              <w:bottom w:val="single" w:color="auto" w:sz="4" w:space="0"/>
              <w:right w:val="single" w:color="auto" w:sz="4" w:space="0"/>
            </w:tcBorders>
            <w:vAlign w:val="center"/>
          </w:tcPr>
          <w:p>
            <w:pPr>
              <w:widowControl/>
              <w:shd w:val="clear" w:color="auto" w:fill="FFFFFF"/>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如投标人须知正文与投标人须知前附表有不一致的地方，以投标人须知前附表为准。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黑体"/>
                <w:color w:val="000000" w:themeColor="text1"/>
                <w:kern w:val="0"/>
                <w:szCs w:val="21"/>
                <w:highlight w:val="none"/>
                <w14:textFill>
                  <w14:solidFill>
                    <w14:schemeClr w14:val="tx1"/>
                  </w14:solidFill>
                </w14:textFill>
              </w:rPr>
            </w:pPr>
            <w:r>
              <w:rPr>
                <w:rFonts w:hint="eastAsia" w:ascii="宋体" w:hAnsi="宋体" w:cs="黑体"/>
                <w:color w:val="000000" w:themeColor="text1"/>
                <w:kern w:val="0"/>
                <w:highlight w:val="none"/>
                <w14:textFill>
                  <w14:solidFill>
                    <w14:schemeClr w14:val="tx1"/>
                  </w14:solidFill>
                </w14:textFill>
              </w:rPr>
              <w:t>11.3</w:t>
            </w:r>
          </w:p>
        </w:tc>
        <w:tc>
          <w:tcPr>
            <w:tcW w:w="9442" w:type="dxa"/>
            <w:gridSpan w:val="2"/>
            <w:tcBorders>
              <w:top w:val="single" w:color="auto" w:sz="4" w:space="0"/>
              <w:left w:val="nil"/>
              <w:bottom w:val="single" w:color="auto" w:sz="4" w:space="0"/>
              <w:right w:val="single" w:color="auto" w:sz="4" w:space="0"/>
            </w:tcBorders>
            <w:vAlign w:val="center"/>
          </w:tcPr>
          <w:p>
            <w:pPr>
              <w:widowControl/>
              <w:shd w:val="clear" w:color="auto" w:fill="FFFFFF"/>
              <w:spacing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本项目招标控制价为：小写：</w:t>
            </w:r>
            <w:r>
              <w:rPr>
                <w:rFonts w:hint="eastAsia" w:ascii="宋体" w:hAnsi="宋体"/>
                <w:color w:val="000000" w:themeColor="text1"/>
                <w:highlight w:val="none"/>
                <w:lang w:val="en-US" w:eastAsia="zh-CN"/>
                <w14:textFill>
                  <w14:solidFill>
                    <w14:schemeClr w14:val="tx1"/>
                  </w14:solidFill>
                </w14:textFill>
              </w:rPr>
              <w:t>2196.810987</w:t>
            </w:r>
            <w:r>
              <w:rPr>
                <w:rFonts w:hint="eastAsia" w:ascii="宋体" w:hAnsi="宋体"/>
                <w:color w:val="000000" w:themeColor="text1"/>
                <w:highlight w:val="none"/>
                <w14:textFill>
                  <w14:solidFill>
                    <w14:schemeClr w14:val="tx1"/>
                  </w14:solidFill>
                </w14:textFill>
              </w:rPr>
              <w:t>万元，大写：</w:t>
            </w:r>
            <w:r>
              <w:rPr>
                <w:rFonts w:hint="eastAsia" w:ascii="宋体" w:hAnsi="宋体"/>
                <w:color w:val="000000" w:themeColor="text1"/>
                <w:highlight w:val="none"/>
                <w:lang w:val="en-US" w:eastAsia="zh-CN"/>
                <w14:textFill>
                  <w14:solidFill>
                    <w14:schemeClr w14:val="tx1"/>
                  </w14:solidFill>
                </w14:textFill>
              </w:rPr>
              <w:t xml:space="preserve"> 贰仟壹佰玖拾陆万捌仟壹佰零玖圆捌角柒分</w:t>
            </w:r>
          </w:p>
          <w:p>
            <w:pPr>
              <w:widowControl/>
              <w:numPr>
                <w:ilvl w:val="0"/>
                <w:numId w:val="1"/>
              </w:numPr>
              <w:shd w:val="clear" w:color="auto" w:fill="FFFFFF"/>
              <w:spacing w:line="360" w:lineRule="auto"/>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供应商投标报价高于招标控制价的视为无效报价，其投标按废标处理。</w:t>
            </w:r>
          </w:p>
          <w:p>
            <w:pPr>
              <w:widowControl/>
              <w:numPr>
                <w:ilvl w:val="0"/>
                <w:numId w:val="1"/>
              </w:numPr>
              <w:shd w:val="clear" w:color="auto" w:fill="FFFFFF"/>
              <w:spacing w:line="360" w:lineRule="auto"/>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报价不得低于其成本价，投标报价应包括管理费、公司经营费、人员工资、人员社保、税金等所需的一切费用（一旦发现有投标单位有低于成本价恶意竞标的现象，按照相关法律、法规给予惩罚，其后果由供应商自行承担）。</w:t>
            </w:r>
          </w:p>
          <w:p>
            <w:pPr>
              <w:widowControl/>
              <w:shd w:val="clear" w:color="auto" w:fill="FFFFFF"/>
              <w:spacing w:line="360" w:lineRule="auto"/>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3.相关费用：</w:t>
            </w:r>
          </w:p>
          <w:p>
            <w:pPr>
              <w:widowControl/>
              <w:shd w:val="clear" w:color="auto" w:fill="FFFFFF"/>
              <w:spacing w:line="360" w:lineRule="auto"/>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代理服务费：按182000元由中标人中标后一次性支付代理公司。（现金支付，不含税票）</w:t>
            </w:r>
          </w:p>
          <w:p>
            <w:pPr>
              <w:widowControl/>
              <w:shd w:val="clear" w:color="auto" w:fill="FFFFFF"/>
              <w:spacing w:line="360" w:lineRule="auto"/>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根据《政府采购促进中小企业发展暂行办法》（财库[2011]181号）、《关于印发中小企业划型标准规定的通知》工信部联企业〔2011〕300号及《关于政府采购促进小型微型企业发展的实施意见》（豫财购[2013]14号）文件规定，对小型和微型企业产品的价格给予6%的扣除，用扣除后的价格参与评审。供应商须在投标文件中按照相关文件的要求出具中小企业声明函。</w:t>
            </w:r>
          </w:p>
          <w:p>
            <w:pPr>
              <w:widowControl/>
              <w:shd w:val="clear" w:color="auto" w:fill="FFFFFF"/>
              <w:spacing w:line="360" w:lineRule="auto"/>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2）监狱企业视同小型、微型企业，需提供省级及以上监狱管理局、戒毒管理局（含新疆生产建设兵团）出具的属于监狱企业的证明文件，否则不予认可。</w:t>
            </w:r>
          </w:p>
          <w:p>
            <w:pPr>
              <w:widowControl/>
              <w:shd w:val="clear" w:color="auto" w:fill="FFFFFF"/>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3）残疾人福利性单位视同小型、微型企业。按照关于促进残疾人就业政府采购政策的通知财库〔2017〕141号要求提供《</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"http://www.gov.cn/xinwen/2017-09/02/5222181/files/f1ba446ff1d041aab7b557a51912d058.docx" </w:instrText>
            </w:r>
            <w:r>
              <w:rPr>
                <w:color w:val="000000" w:themeColor="text1"/>
                <w:highlight w:val="none"/>
                <w14:textFill>
                  <w14:solidFill>
                    <w14:schemeClr w14:val="tx1"/>
                  </w14:solidFill>
                </w14:textFill>
              </w:rPr>
              <w:fldChar w:fldCharType="separate"/>
            </w:r>
            <w:r>
              <w:rPr>
                <w:rStyle w:val="15"/>
                <w:color w:val="000000" w:themeColor="text1"/>
                <w:highlight w:val="none"/>
                <w14:textFill>
                  <w14:solidFill>
                    <w14:schemeClr w14:val="tx1"/>
                  </w14:solidFill>
                </w14:textFill>
              </w:rPr>
              <w:t>残疾人福利性单位声明函</w:t>
            </w:r>
            <w:r>
              <w:rPr>
                <w:rStyle w:val="15"/>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t>》等有效证明材料，并对声明的真实性负责，否则不予认可。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TimesNewRomanPSMT"/>
                <w:color w:val="000000" w:themeColor="text1"/>
                <w:kern w:val="0"/>
                <w:szCs w:val="21"/>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11.4</w:t>
            </w:r>
          </w:p>
        </w:tc>
        <w:tc>
          <w:tcPr>
            <w:tcW w:w="9442"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rPr>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招标文件未尽事宜按照国家相关法律法规和当地法规执行。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TimesNewRomanPSMT"/>
                <w:color w:val="000000" w:themeColor="text1"/>
                <w:kern w:val="0"/>
                <w:szCs w:val="21"/>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11.5</w:t>
            </w:r>
          </w:p>
        </w:tc>
        <w:tc>
          <w:tcPr>
            <w:tcW w:w="9442" w:type="dxa"/>
            <w:gridSpan w:val="2"/>
            <w:tcBorders>
              <w:top w:val="single" w:color="auto" w:sz="4" w:space="0"/>
              <w:left w:val="nil"/>
              <w:bottom w:val="single" w:color="auto" w:sz="4" w:space="0"/>
              <w:right w:val="single" w:color="auto" w:sz="4" w:space="0"/>
            </w:tcBorders>
            <w:vAlign w:val="center"/>
          </w:tcPr>
          <w:p>
            <w:pPr>
              <w:pStyle w:val="16"/>
              <w:numPr>
                <w:ilvl w:val="0"/>
                <w:numId w:val="2"/>
              </w:numPr>
              <w:autoSpaceDE w:val="0"/>
              <w:autoSpaceDN w:val="0"/>
              <w:adjustRightInd w:val="0"/>
              <w:ind w:firstLineChars="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接收质疑和异议的方式为直接递交纸质文件；联系部门地址</w:t>
            </w:r>
            <w:r>
              <w:rPr>
                <w:rFonts w:hint="eastAsia" w:ascii="Calibri" w:hAnsi="Calibri"/>
                <w:color w:val="000000" w:themeColor="text1"/>
                <w:sz w:val="21"/>
                <w:szCs w:val="21"/>
                <w:highlight w:val="none"/>
                <w14:textFill>
                  <w14:solidFill>
                    <w14:schemeClr w14:val="tx1"/>
                  </w14:solidFill>
                </w14:textFill>
              </w:rPr>
              <w:t>开封市市民之家6043</w:t>
            </w:r>
            <w:r>
              <w:rPr>
                <w:rFonts w:hint="eastAsia" w:ascii="宋体" w:hAnsi="宋体"/>
                <w:color w:val="000000" w:themeColor="text1"/>
                <w:sz w:val="21"/>
                <w:szCs w:val="21"/>
                <w:highlight w:val="none"/>
                <w14:textFill>
                  <w14:solidFill>
                    <w14:schemeClr w14:val="tx1"/>
                  </w14:solidFill>
                </w14:textFill>
              </w:rPr>
              <w:t>房间（开封市公共资源交易管理委员会办公室）</w:t>
            </w:r>
            <w:r>
              <w:rPr>
                <w:rFonts w:hint="eastAsia" w:ascii="Calibri" w:hAnsi="Calibri"/>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联系电话</w:t>
            </w:r>
            <w:r>
              <w:rPr>
                <w:rFonts w:hint="eastAsia" w:ascii="Calibri" w:hAnsi="Calibri"/>
                <w:color w:val="000000" w:themeColor="text1"/>
                <w:sz w:val="21"/>
                <w:szCs w:val="21"/>
                <w:highlight w:val="none"/>
                <w14:textFill>
                  <w14:solidFill>
                    <w14:schemeClr w14:val="tx1"/>
                  </w14:solidFill>
                </w14:textFill>
              </w:rPr>
              <w:t>:0371- 23152555</w:t>
            </w:r>
            <w:r>
              <w:rPr>
                <w:rFonts w:hint="eastAsia" w:ascii="宋体" w:hAnsi="宋体"/>
                <w:color w:val="000000" w:themeColor="text1"/>
                <w:sz w:val="21"/>
                <w:szCs w:val="21"/>
                <w:highlight w:val="none"/>
                <w14:textFill>
                  <w14:solidFill>
                    <w14:schemeClr w14:val="tx1"/>
                  </w14:solidFill>
                </w14:textFill>
              </w:rPr>
              <w:t>。</w:t>
            </w:r>
          </w:p>
          <w:p>
            <w:pPr>
              <w:pStyle w:val="16"/>
              <w:numPr>
                <w:ilvl w:val="0"/>
                <w:numId w:val="2"/>
              </w:numPr>
              <w:autoSpaceDE w:val="0"/>
              <w:autoSpaceDN w:val="0"/>
              <w:adjustRightInd w:val="0"/>
              <w:ind w:firstLineChars="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投标人应在投标文件中承诺如下：我公司独立制作、修改和上传投标文件，并承担因“硬件特征码一致”、无法解密，解密后乱码、所造成的不良后果，自己承担以上责任。</w:t>
            </w:r>
          </w:p>
          <w:p>
            <w:pPr>
              <w:pStyle w:val="16"/>
              <w:numPr>
                <w:ilvl w:val="0"/>
                <w:numId w:val="2"/>
              </w:numPr>
              <w:autoSpaceDE w:val="0"/>
              <w:autoSpaceDN w:val="0"/>
              <w:adjustRightInd w:val="0"/>
              <w:ind w:firstLineChars="0"/>
              <w:rPr>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各投标（响应）人从参与项目交易开始至项目交易活动结束止，应时刻关注电子交易系统中的项目进度和状态，特别是项目评审期间。由于自身原因错过变更通知、文件澄清、报价响应（自系统发起30分钟内做出）等重要信息的，后果由投标（供应商）人自行承担。</w:t>
            </w:r>
          </w:p>
        </w:tc>
      </w:tr>
    </w:tbl>
    <w:p>
      <w:pPr>
        <w:autoSpaceDE w:val="0"/>
        <w:autoSpaceDN w:val="0"/>
        <w:adjustRightInd w:val="0"/>
        <w:spacing w:line="360" w:lineRule="auto"/>
        <w:jc w:val="left"/>
        <w:rPr>
          <w:rFonts w:hint="eastAsia" w:ascii="宋体" w:hAnsi="宋体" w:cs="仿宋_GB2312"/>
          <w:color w:val="000000" w:themeColor="text1"/>
          <w:kern w:val="0"/>
          <w:szCs w:val="21"/>
          <w:highlight w:val="none"/>
          <w14:textFill>
            <w14:solidFill>
              <w14:schemeClr w14:val="tx1"/>
            </w14:solidFill>
          </w14:textFill>
        </w:rPr>
      </w:pPr>
      <w:bookmarkStart w:id="37" w:name="_Toc22871"/>
      <w:bookmarkEnd w:id="37"/>
      <w:r>
        <w:rPr>
          <w:rFonts w:hint="eastAsia" w:ascii="宋体" w:hAnsi="宋体" w:cs="仿宋_GB2312"/>
          <w:color w:val="000000" w:themeColor="text1"/>
          <w:kern w:val="0"/>
          <w:highlight w:val="none"/>
          <w14:textFill>
            <w14:solidFill>
              <w14:schemeClr w14:val="tx1"/>
            </w14:solidFill>
          </w14:textFill>
        </w:rPr>
        <w:t>1. 总则</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1.1 项目概况</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1.1.1 </w:t>
      </w:r>
      <w:r>
        <w:rPr>
          <w:rFonts w:hint="eastAsia" w:ascii="宋体" w:hAnsi="宋体" w:cs="仿宋_GB2312"/>
          <w:color w:val="000000" w:themeColor="text1"/>
          <w:kern w:val="0"/>
          <w:highlight w:val="none"/>
          <w14:textFill>
            <w14:solidFill>
              <w14:schemeClr w14:val="tx1"/>
            </w14:solidFill>
          </w14:textFill>
        </w:rPr>
        <w:t>根据《中华人民共和国政府采购法》等有关法律、法规和规章的规定，本采购项目已具备采购条件，现对本项目进行公开招标。</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1.1.2 </w:t>
      </w:r>
      <w:r>
        <w:rPr>
          <w:rFonts w:hint="eastAsia" w:ascii="宋体" w:hAnsi="宋体" w:cs="仿宋_GB2312"/>
          <w:color w:val="000000" w:themeColor="text1"/>
          <w:kern w:val="0"/>
          <w:highlight w:val="none"/>
          <w14:textFill>
            <w14:solidFill>
              <w14:schemeClr w14:val="tx1"/>
            </w14:solidFill>
          </w14:textFill>
        </w:rPr>
        <w:t>本项目采购人：见供应商须知前附表。</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1.1.3 </w:t>
      </w:r>
      <w:r>
        <w:rPr>
          <w:rFonts w:hint="eastAsia" w:ascii="宋体" w:hAnsi="宋体" w:cs="仿宋_GB2312"/>
          <w:color w:val="000000" w:themeColor="text1"/>
          <w:kern w:val="0"/>
          <w:highlight w:val="none"/>
          <w14:textFill>
            <w14:solidFill>
              <w14:schemeClr w14:val="tx1"/>
            </w14:solidFill>
          </w14:textFill>
        </w:rPr>
        <w:t>本项目采购代理机构：见供应商须知前附表。</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1.1.4 </w:t>
      </w:r>
      <w:r>
        <w:rPr>
          <w:rFonts w:hint="eastAsia" w:ascii="宋体" w:hAnsi="宋体" w:cs="仿宋_GB2312"/>
          <w:color w:val="000000" w:themeColor="text1"/>
          <w:kern w:val="0"/>
          <w:highlight w:val="none"/>
          <w14:textFill>
            <w14:solidFill>
              <w14:schemeClr w14:val="tx1"/>
            </w14:solidFill>
          </w14:textFill>
        </w:rPr>
        <w:t>本采购项目名称：见供应商须知前附表。</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1.1.5 本项目交货地点：见供应商须知前附表。</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1.2 资金来源和落实情况</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1.2.1 </w:t>
      </w:r>
      <w:r>
        <w:rPr>
          <w:rFonts w:hint="eastAsia" w:ascii="宋体" w:hAnsi="宋体" w:cs="仿宋_GB2312"/>
          <w:color w:val="000000" w:themeColor="text1"/>
          <w:kern w:val="0"/>
          <w:highlight w:val="none"/>
          <w14:textFill>
            <w14:solidFill>
              <w14:schemeClr w14:val="tx1"/>
            </w14:solidFill>
          </w14:textFill>
        </w:rPr>
        <w:t>本采购项目的资金来源：见供应商须知前附表。</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1.2.2</w:t>
      </w:r>
      <w:r>
        <w:rPr>
          <w:rFonts w:hint="eastAsia" w:ascii="宋体" w:hAnsi="宋体" w:cs="仿宋_GB2312"/>
          <w:color w:val="000000" w:themeColor="text1"/>
          <w:kern w:val="0"/>
          <w:highlight w:val="none"/>
          <w14:textFill>
            <w14:solidFill>
              <w14:schemeClr w14:val="tx1"/>
            </w14:solidFill>
          </w14:textFill>
        </w:rPr>
        <w:t>本采购项目的资金落实情况：见供应商须知前附表。</w:t>
      </w:r>
    </w:p>
    <w:p>
      <w:pPr>
        <w:autoSpaceDE w:val="0"/>
        <w:autoSpaceDN w:val="0"/>
        <w:adjustRightInd w:val="0"/>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1.3 采购范围、质量要求和服务期限</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1.3.1</w:t>
      </w:r>
      <w:r>
        <w:rPr>
          <w:rFonts w:hint="eastAsia" w:ascii="宋体" w:hAnsi="宋体" w:cs="仿宋_GB2312"/>
          <w:color w:val="000000" w:themeColor="text1"/>
          <w:kern w:val="0"/>
          <w:highlight w:val="none"/>
          <w14:textFill>
            <w14:solidFill>
              <w14:schemeClr w14:val="tx1"/>
            </w14:solidFill>
          </w14:textFill>
        </w:rPr>
        <w:t xml:space="preserve"> 本次采购范围：见供应商须知前附表。</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1.3.2 </w:t>
      </w:r>
      <w:r>
        <w:rPr>
          <w:rFonts w:hint="eastAsia" w:ascii="宋体" w:hAnsi="宋体" w:cs="仿宋_GB2312"/>
          <w:color w:val="000000" w:themeColor="text1"/>
          <w:kern w:val="0"/>
          <w:highlight w:val="none"/>
          <w14:textFill>
            <w14:solidFill>
              <w14:schemeClr w14:val="tx1"/>
            </w14:solidFill>
          </w14:textFill>
        </w:rPr>
        <w:t>本项目的</w:t>
      </w:r>
      <w:r>
        <w:rPr>
          <w:rFonts w:hint="eastAsia" w:ascii="宋体" w:hAnsi="宋体"/>
          <w:color w:val="000000" w:themeColor="text1"/>
          <w:kern w:val="0"/>
          <w:highlight w:val="none"/>
          <w14:textFill>
            <w14:solidFill>
              <w14:schemeClr w14:val="tx1"/>
            </w14:solidFill>
          </w14:textFill>
        </w:rPr>
        <w:t>质量要求</w:t>
      </w:r>
      <w:r>
        <w:rPr>
          <w:rFonts w:hint="eastAsia" w:ascii="宋体" w:hAnsi="宋体" w:cs="仿宋_GB2312"/>
          <w:color w:val="000000" w:themeColor="text1"/>
          <w:kern w:val="0"/>
          <w:highlight w:val="none"/>
          <w14:textFill>
            <w14:solidFill>
              <w14:schemeClr w14:val="tx1"/>
            </w14:solidFill>
          </w14:textFill>
        </w:rPr>
        <w:t>：见供应商须知前附表。</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1.3.3 </w:t>
      </w:r>
      <w:r>
        <w:rPr>
          <w:rFonts w:hint="eastAsia" w:ascii="宋体" w:hAnsi="宋体" w:cs="仿宋_GB2312"/>
          <w:color w:val="000000" w:themeColor="text1"/>
          <w:kern w:val="0"/>
          <w:highlight w:val="none"/>
          <w14:textFill>
            <w14:solidFill>
              <w14:schemeClr w14:val="tx1"/>
            </w14:solidFill>
          </w14:textFill>
        </w:rPr>
        <w:t>本项目的交货期：见供应商须知前附表。</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1.4 供应商资格要求</w:t>
      </w:r>
    </w:p>
    <w:p>
      <w:pPr>
        <w:autoSpaceDE w:val="0"/>
        <w:autoSpaceDN w:val="0"/>
        <w:adjustRightInd w:val="0"/>
        <w:spacing w:line="360" w:lineRule="auto"/>
        <w:ind w:firstLine="525" w:firstLineChars="25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1.4.1供应商应具备资质条件：见供应商须知前附表。</w:t>
      </w:r>
    </w:p>
    <w:p>
      <w:pPr>
        <w:autoSpaceDE w:val="0"/>
        <w:autoSpaceDN w:val="0"/>
        <w:adjustRightInd w:val="0"/>
        <w:spacing w:line="360" w:lineRule="auto"/>
        <w:ind w:firstLine="525" w:firstLineChars="25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1.4.2 供应商不得存在下列情形之一：</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（1）为采购人不具有独立法人资格的附属机构（单位）；</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（2）被责令停业的；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（3）被暂停或取消投标资格的；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（4）财产被接管或冻结的；</w:t>
      </w:r>
    </w:p>
    <w:p>
      <w:pPr>
        <w:autoSpaceDE w:val="0"/>
        <w:autoSpaceDN w:val="0"/>
        <w:adjustRightInd w:val="0"/>
        <w:spacing w:line="360" w:lineRule="auto"/>
        <w:ind w:firstLine="465"/>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（5）在最近三年内有骗取中标或严重违约的。</w:t>
      </w:r>
    </w:p>
    <w:p>
      <w:pPr>
        <w:autoSpaceDE w:val="0"/>
        <w:autoSpaceDN w:val="0"/>
        <w:adjustRightInd w:val="0"/>
        <w:spacing w:line="360" w:lineRule="auto"/>
        <w:ind w:firstLine="465"/>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(6）未达到供应商须知前附表其他要求。</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1.5 费用承担</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供应商准备和参加投标活动所发生的一切费用自理。</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1.6 保密</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参与采购投标活动的各方应对采购文件和投标文件中的商业和技术等秘密保密，违者应对由此造成的后果承担法律责任。</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1.7 语言文字</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除专用术语外，与采购投标有关的语言均使用中文。必要时专用术语应附有中文注释。</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1.8 计量单位</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所有计量均采用中华人民共和国法定计量单位。</w:t>
      </w:r>
    </w:p>
    <w:p>
      <w:pPr>
        <w:autoSpaceDE w:val="0"/>
        <w:autoSpaceDN w:val="0"/>
        <w:adjustRightInd w:val="0"/>
        <w:spacing w:line="360" w:lineRule="auto"/>
        <w:jc w:val="left"/>
        <w:outlineLvl w:val="3"/>
        <w:rPr>
          <w:rFonts w:hint="eastAsia" w:ascii="黑体" w:hAnsi="新宋体" w:eastAsia="黑体" w:cs="宋体"/>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1.10偏离</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供应商应符合供应商须知前附表规定不允许重大偏离。</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bookmarkStart w:id="38" w:name="_Toc239762528"/>
      <w:bookmarkEnd w:id="38"/>
      <w:bookmarkStart w:id="39" w:name="_Toc30193"/>
      <w:r>
        <w:rPr>
          <w:rFonts w:hint="eastAsia" w:ascii="宋体" w:hAnsi="宋体" w:cs="仿宋_GB2312"/>
          <w:color w:val="000000" w:themeColor="text1"/>
          <w:kern w:val="0"/>
          <w:highlight w:val="none"/>
          <w14:textFill>
            <w14:solidFill>
              <w14:schemeClr w14:val="tx1"/>
            </w14:solidFill>
          </w14:textFill>
        </w:rPr>
        <w:t xml:space="preserve">2. </w:t>
      </w:r>
      <w:bookmarkEnd w:id="39"/>
      <w:r>
        <w:rPr>
          <w:rFonts w:hint="eastAsia" w:ascii="宋体" w:hAnsi="宋体" w:cs="仿宋_GB2312"/>
          <w:color w:val="000000" w:themeColor="text1"/>
          <w:kern w:val="0"/>
          <w:highlight w:val="none"/>
          <w14:textFill>
            <w14:solidFill>
              <w14:schemeClr w14:val="tx1"/>
            </w14:solidFill>
          </w14:textFill>
        </w:rPr>
        <w:t>采购文件</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2.1 采购文件的组成</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本采购文件包括：</w:t>
      </w:r>
    </w:p>
    <w:p>
      <w:pPr>
        <w:numPr>
          <w:ilvl w:val="0"/>
          <w:numId w:val="3"/>
        </w:numPr>
        <w:autoSpaceDE w:val="0"/>
        <w:autoSpaceDN w:val="0"/>
        <w:spacing w:line="360" w:lineRule="auto"/>
        <w:rPr>
          <w:rFonts w:hint="eastAsia"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采购公告</w:t>
      </w:r>
    </w:p>
    <w:p>
      <w:pPr>
        <w:autoSpaceDE w:val="0"/>
        <w:autoSpaceDN w:val="0"/>
        <w:spacing w:line="360" w:lineRule="auto"/>
        <w:rPr>
          <w:rFonts w:hint="eastAsia"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color w:val="000000" w:themeColor="text1"/>
          <w:highlight w:val="none"/>
          <w14:textFill>
            <w14:solidFill>
              <w14:schemeClr w14:val="tx1"/>
            </w14:solidFill>
          </w14:textFill>
        </w:rPr>
        <w:t xml:space="preserve">2） </w:t>
      </w:r>
      <w:r>
        <w:rPr>
          <w:rFonts w:hint="eastAsia" w:ascii="宋体" w:hAnsi="宋体"/>
          <w:color w:val="000000" w:themeColor="text1"/>
          <w:highlight w:val="none"/>
          <w14:textFill>
            <w14:solidFill>
              <w14:schemeClr w14:val="tx1"/>
            </w14:solidFill>
          </w14:textFill>
        </w:rPr>
        <w:t>供应商须知</w:t>
      </w:r>
    </w:p>
    <w:p>
      <w:pPr>
        <w:autoSpaceDE w:val="0"/>
        <w:autoSpaceDN w:val="0"/>
        <w:spacing w:line="360" w:lineRule="auto"/>
        <w:rPr>
          <w:rFonts w:hint="eastAsia"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w:t>
      </w:r>
      <w:r>
        <w:rPr>
          <w:rFonts w:hint="eastAsia" w:ascii="宋体"/>
          <w:color w:val="000000" w:themeColor="text1"/>
          <w:highlight w:val="non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评标办法</w:t>
      </w:r>
    </w:p>
    <w:p>
      <w:pPr>
        <w:autoSpaceDE w:val="0"/>
        <w:autoSpaceDN w:val="0"/>
        <w:spacing w:line="360" w:lineRule="auto"/>
        <w:rPr>
          <w:rFonts w:hint="eastAsia"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color w:val="000000" w:themeColor="text1"/>
          <w:highlight w:val="none"/>
          <w14:textFill>
            <w14:solidFill>
              <w14:schemeClr w14:val="tx1"/>
            </w14:solidFill>
          </w14:textFill>
        </w:rPr>
        <w:t xml:space="preserve">4） </w:t>
      </w:r>
      <w:r>
        <w:rPr>
          <w:rFonts w:hint="eastAsia" w:ascii="宋体" w:hAnsi="宋体"/>
          <w:color w:val="000000" w:themeColor="text1"/>
          <w:highlight w:val="none"/>
          <w14:textFill>
            <w14:solidFill>
              <w14:schemeClr w14:val="tx1"/>
            </w14:solidFill>
          </w14:textFill>
        </w:rPr>
        <w:t>合同条款及格式</w:t>
      </w:r>
    </w:p>
    <w:p>
      <w:pPr>
        <w:autoSpaceDE w:val="0"/>
        <w:autoSpaceDN w:val="0"/>
        <w:spacing w:line="360" w:lineRule="auto"/>
        <w:rPr>
          <w:rFonts w:hint="eastAsia"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color w:val="000000" w:themeColor="text1"/>
          <w:highlight w:val="none"/>
          <w14:textFill>
            <w14:solidFill>
              <w14:schemeClr w14:val="tx1"/>
            </w14:solidFill>
          </w14:textFill>
        </w:rPr>
        <w:t>5） 采购数量及</w:t>
      </w:r>
      <w:r>
        <w:rPr>
          <w:rFonts w:hint="eastAsia" w:ascii="宋体" w:hAnsi="宋体"/>
          <w:color w:val="000000" w:themeColor="text1"/>
          <w:highlight w:val="none"/>
          <w14:textFill>
            <w14:solidFill>
              <w14:schemeClr w14:val="tx1"/>
            </w14:solidFill>
          </w14:textFill>
        </w:rPr>
        <w:t>技术要求</w:t>
      </w:r>
    </w:p>
    <w:p>
      <w:pPr>
        <w:autoSpaceDE w:val="0"/>
        <w:autoSpaceDN w:val="0"/>
        <w:spacing w:line="360" w:lineRule="auto"/>
        <w:rPr>
          <w:rFonts w:hint="eastAsia"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color w:val="000000" w:themeColor="text1"/>
          <w:highlight w:val="none"/>
          <w14:textFill>
            <w14:solidFill>
              <w14:schemeClr w14:val="tx1"/>
            </w14:solidFill>
          </w14:textFill>
        </w:rPr>
        <w:t xml:space="preserve">6） </w:t>
      </w:r>
      <w:r>
        <w:rPr>
          <w:rFonts w:hint="eastAsia" w:ascii="宋体" w:hAnsi="宋体"/>
          <w:color w:val="000000" w:themeColor="text1"/>
          <w:highlight w:val="none"/>
          <w14:textFill>
            <w14:solidFill>
              <w14:schemeClr w14:val="tx1"/>
            </w14:solidFill>
          </w14:textFill>
        </w:rPr>
        <w:t>投标文件格式</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根据本章第</w:t>
      </w:r>
      <w:r>
        <w:rPr>
          <w:rFonts w:hint="eastAsia" w:ascii="宋体" w:hAnsi="宋体" w:cs="TimesNewRomanPSMT"/>
          <w:color w:val="000000" w:themeColor="text1"/>
          <w:kern w:val="0"/>
          <w:highlight w:val="none"/>
          <w14:textFill>
            <w14:solidFill>
              <w14:schemeClr w14:val="tx1"/>
            </w14:solidFill>
          </w14:textFill>
        </w:rPr>
        <w:t>1.10</w:t>
      </w:r>
      <w:r>
        <w:rPr>
          <w:rFonts w:hint="eastAsia" w:ascii="宋体" w:hAnsi="宋体" w:cs="仿宋_GB2312"/>
          <w:color w:val="000000" w:themeColor="text1"/>
          <w:kern w:val="0"/>
          <w:highlight w:val="none"/>
          <w14:textFill>
            <w14:solidFill>
              <w14:schemeClr w14:val="tx1"/>
            </w14:solidFill>
          </w14:textFill>
        </w:rPr>
        <w:t>款、第</w:t>
      </w:r>
      <w:r>
        <w:rPr>
          <w:rFonts w:hint="eastAsia" w:ascii="宋体" w:hAnsi="宋体" w:cs="TimesNewRomanPSMT"/>
          <w:color w:val="000000" w:themeColor="text1"/>
          <w:kern w:val="0"/>
          <w:highlight w:val="none"/>
          <w14:textFill>
            <w14:solidFill>
              <w14:schemeClr w14:val="tx1"/>
            </w14:solidFill>
          </w14:textFill>
        </w:rPr>
        <w:t xml:space="preserve">2.2 </w:t>
      </w:r>
      <w:r>
        <w:rPr>
          <w:rFonts w:hint="eastAsia" w:ascii="宋体" w:hAnsi="宋体" w:cs="仿宋_GB2312"/>
          <w:color w:val="000000" w:themeColor="text1"/>
          <w:kern w:val="0"/>
          <w:highlight w:val="none"/>
          <w14:textFill>
            <w14:solidFill>
              <w14:schemeClr w14:val="tx1"/>
            </w14:solidFill>
          </w14:textFill>
        </w:rPr>
        <w:t>款和第</w:t>
      </w:r>
      <w:r>
        <w:rPr>
          <w:rFonts w:hint="eastAsia" w:ascii="宋体" w:hAnsi="宋体" w:cs="TimesNewRomanPSMT"/>
          <w:color w:val="000000" w:themeColor="text1"/>
          <w:kern w:val="0"/>
          <w:highlight w:val="none"/>
          <w14:textFill>
            <w14:solidFill>
              <w14:schemeClr w14:val="tx1"/>
            </w14:solidFill>
          </w14:textFill>
        </w:rPr>
        <w:t xml:space="preserve">2.3 </w:t>
      </w:r>
      <w:r>
        <w:rPr>
          <w:rFonts w:hint="eastAsia" w:ascii="宋体" w:hAnsi="宋体" w:cs="仿宋_GB2312"/>
          <w:color w:val="000000" w:themeColor="text1"/>
          <w:kern w:val="0"/>
          <w:highlight w:val="none"/>
          <w14:textFill>
            <w14:solidFill>
              <w14:schemeClr w14:val="tx1"/>
            </w14:solidFill>
          </w14:textFill>
        </w:rPr>
        <w:t>款对采购文件所作的澄清、修改，构成采购文件的组成部分。</w:t>
      </w:r>
    </w:p>
    <w:p>
      <w:pPr>
        <w:autoSpaceDE w:val="0"/>
        <w:autoSpaceDN w:val="0"/>
        <w:adjustRightInd w:val="0"/>
        <w:spacing w:line="360" w:lineRule="auto"/>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2.2 采购文件的澄清</w:t>
      </w:r>
    </w:p>
    <w:p>
      <w:pPr>
        <w:autoSpaceDE w:val="0"/>
        <w:autoSpaceDN w:val="0"/>
        <w:adjustRightInd w:val="0"/>
        <w:spacing w:line="360" w:lineRule="auto"/>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2.2.1 </w:t>
      </w:r>
      <w:r>
        <w:rPr>
          <w:rFonts w:hint="eastAsia" w:ascii="宋体" w:hAnsi="宋体" w:cs="仿宋_GB2312"/>
          <w:color w:val="000000" w:themeColor="text1"/>
          <w:kern w:val="0"/>
          <w:highlight w:val="none"/>
          <w14:textFill>
            <w14:solidFill>
              <w14:schemeClr w14:val="tx1"/>
            </w14:solidFill>
          </w14:textFill>
        </w:rPr>
        <w:t>供应商应仔细阅读和检查采购文件的全部内容。如发现缺页或附件不全，应及时向采购人提出，以便补齐；如有疑问，应在供应商须知前附表规定的时间前以书面形式（包括信函、电报、传真等可以有形地表现所载内容的形式），要求采购人对采购文件予以澄清。</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2.2.2 </w:t>
      </w:r>
      <w:r>
        <w:rPr>
          <w:rFonts w:hint="eastAsia" w:ascii="宋体" w:hAnsi="宋体" w:cs="仿宋_GB2312"/>
          <w:color w:val="000000" w:themeColor="text1"/>
          <w:kern w:val="0"/>
          <w:highlight w:val="none"/>
          <w14:textFill>
            <w14:solidFill>
              <w14:schemeClr w14:val="tx1"/>
            </w14:solidFill>
          </w14:textFill>
        </w:rPr>
        <w:t>采购文件的澄清将在供应商须知前附表规定的投标截止时间</w:t>
      </w:r>
      <w:r>
        <w:rPr>
          <w:rFonts w:hint="eastAsia" w:ascii="宋体" w:hAnsi="宋体" w:cs="TimesNewRomanPSMT"/>
          <w:color w:val="000000" w:themeColor="text1"/>
          <w:kern w:val="0"/>
          <w:highlight w:val="none"/>
          <w14:textFill>
            <w14:solidFill>
              <w14:schemeClr w14:val="tx1"/>
            </w14:solidFill>
          </w14:textFill>
        </w:rPr>
        <w:t>15</w:t>
      </w:r>
      <w:r>
        <w:rPr>
          <w:rFonts w:hint="eastAsia" w:ascii="宋体" w:hAnsi="宋体" w:cs="仿宋_GB2312"/>
          <w:color w:val="000000" w:themeColor="text1"/>
          <w:kern w:val="0"/>
          <w:highlight w:val="none"/>
          <w14:textFill>
            <w14:solidFill>
              <w14:schemeClr w14:val="tx1"/>
            </w14:solidFill>
          </w14:textFill>
        </w:rPr>
        <w:t>天前以书面形式发给所有购买采购文件的供应商，但不指明澄清问题的来源。如果澄清发出的时间距投标截止时间不足</w:t>
      </w:r>
      <w:r>
        <w:rPr>
          <w:rFonts w:hint="eastAsia" w:ascii="宋体" w:hAnsi="宋体" w:cs="TimesNewRomanPSMT"/>
          <w:color w:val="000000" w:themeColor="text1"/>
          <w:kern w:val="0"/>
          <w:highlight w:val="none"/>
          <w14:textFill>
            <w14:solidFill>
              <w14:schemeClr w14:val="tx1"/>
            </w14:solidFill>
          </w14:textFill>
        </w:rPr>
        <w:t>15</w:t>
      </w:r>
      <w:r>
        <w:rPr>
          <w:rFonts w:hint="eastAsia" w:ascii="宋体" w:hAnsi="宋体" w:cs="仿宋_GB2312"/>
          <w:color w:val="000000" w:themeColor="text1"/>
          <w:kern w:val="0"/>
          <w:highlight w:val="none"/>
          <w14:textFill>
            <w14:solidFill>
              <w14:schemeClr w14:val="tx1"/>
            </w14:solidFill>
          </w14:textFill>
        </w:rPr>
        <w:t>天，相应延长投标截止时间。</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2.2.3 </w:t>
      </w:r>
      <w:r>
        <w:rPr>
          <w:rFonts w:hint="eastAsia" w:ascii="宋体" w:hAnsi="宋体" w:cs="仿宋_GB2312"/>
          <w:color w:val="000000" w:themeColor="text1"/>
          <w:kern w:val="0"/>
          <w:highlight w:val="none"/>
          <w14:textFill>
            <w14:solidFill>
              <w14:schemeClr w14:val="tx1"/>
            </w14:solidFill>
          </w14:textFill>
        </w:rPr>
        <w:t>供应商在收到澄清后，应在供应商须知前附表规定的时间内以书面形式通知采购人，确认已收到该澄清。</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2.3 采购文件的修改</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2.3.1 </w:t>
      </w:r>
      <w:r>
        <w:rPr>
          <w:rFonts w:hint="eastAsia" w:ascii="宋体" w:hAnsi="宋体" w:cs="仿宋_GB2312"/>
          <w:color w:val="000000" w:themeColor="text1"/>
          <w:kern w:val="0"/>
          <w:highlight w:val="none"/>
          <w14:textFill>
            <w14:solidFill>
              <w14:schemeClr w14:val="tx1"/>
            </w14:solidFill>
          </w14:textFill>
        </w:rPr>
        <w:t>在投标截止时间</w:t>
      </w:r>
      <w:r>
        <w:rPr>
          <w:rFonts w:hint="eastAsia" w:ascii="宋体" w:hAnsi="宋体" w:cs="TimesNewRomanPSMT"/>
          <w:color w:val="000000" w:themeColor="text1"/>
          <w:kern w:val="0"/>
          <w:highlight w:val="none"/>
          <w14:textFill>
            <w14:solidFill>
              <w14:schemeClr w14:val="tx1"/>
            </w14:solidFill>
          </w14:textFill>
        </w:rPr>
        <w:t>15</w:t>
      </w:r>
      <w:r>
        <w:rPr>
          <w:rFonts w:hint="eastAsia" w:ascii="宋体" w:hAnsi="宋体" w:cs="仿宋_GB2312"/>
          <w:color w:val="000000" w:themeColor="text1"/>
          <w:kern w:val="0"/>
          <w:highlight w:val="none"/>
          <w14:textFill>
            <w14:solidFill>
              <w14:schemeClr w14:val="tx1"/>
            </w14:solidFill>
          </w14:textFill>
        </w:rPr>
        <w:t>天前，采购人可以书面形式修改采购文件，并通知所有已购买采购文件的供应商。如果修改采购文件的时间距投标截止时间不足</w:t>
      </w:r>
      <w:r>
        <w:rPr>
          <w:rFonts w:hint="eastAsia" w:ascii="宋体" w:hAnsi="宋体" w:cs="TimesNewRomanPSMT"/>
          <w:color w:val="000000" w:themeColor="text1"/>
          <w:kern w:val="0"/>
          <w:highlight w:val="none"/>
          <w14:textFill>
            <w14:solidFill>
              <w14:schemeClr w14:val="tx1"/>
            </w14:solidFill>
          </w14:textFill>
        </w:rPr>
        <w:t>15</w:t>
      </w:r>
      <w:r>
        <w:rPr>
          <w:rFonts w:hint="eastAsia" w:ascii="宋体" w:hAnsi="宋体" w:cs="仿宋_GB2312"/>
          <w:color w:val="000000" w:themeColor="text1"/>
          <w:kern w:val="0"/>
          <w:highlight w:val="none"/>
          <w14:textFill>
            <w14:solidFill>
              <w14:schemeClr w14:val="tx1"/>
            </w14:solidFill>
          </w14:textFill>
        </w:rPr>
        <w:t>天，相应延长投标截止时间。</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2.3.2 </w:t>
      </w:r>
      <w:r>
        <w:rPr>
          <w:rFonts w:hint="eastAsia" w:ascii="宋体" w:hAnsi="宋体" w:cs="仿宋_GB2312"/>
          <w:color w:val="000000" w:themeColor="text1"/>
          <w:kern w:val="0"/>
          <w:highlight w:val="none"/>
          <w14:textFill>
            <w14:solidFill>
              <w14:schemeClr w14:val="tx1"/>
            </w14:solidFill>
          </w14:textFill>
        </w:rPr>
        <w:t>供应商收到修改内容后，应在供应商须知前附表规定的时间内以书面形式通知采购人，确认已收到该修改。</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2.4 招标文件的解释</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招标文件最终解释权归采购人，所有解释均依据本招标文件及有关的法律、法规;在评标时，若出现招标文件无明确说明和处理的情况时，由评标委员会讨论确定处理方案；评标委员会成员之间对处理方案有争议时，采取少数服从多数的投票方式确定。</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bookmarkStart w:id="40" w:name="_Toc239762529"/>
      <w:bookmarkEnd w:id="40"/>
      <w:bookmarkStart w:id="41" w:name="_Toc1141"/>
      <w:r>
        <w:rPr>
          <w:rFonts w:hint="eastAsia" w:ascii="宋体" w:hAnsi="宋体" w:cs="仿宋_GB2312"/>
          <w:color w:val="000000" w:themeColor="text1"/>
          <w:kern w:val="0"/>
          <w:highlight w:val="none"/>
          <w14:textFill>
            <w14:solidFill>
              <w14:schemeClr w14:val="tx1"/>
            </w14:solidFill>
          </w14:textFill>
        </w:rPr>
        <w:t xml:space="preserve">3. </w:t>
      </w:r>
      <w:bookmarkEnd w:id="41"/>
      <w:r>
        <w:rPr>
          <w:rFonts w:hint="eastAsia" w:ascii="宋体" w:hAnsi="宋体" w:cs="仿宋_GB2312"/>
          <w:color w:val="000000" w:themeColor="text1"/>
          <w:kern w:val="0"/>
          <w:highlight w:val="none"/>
          <w14:textFill>
            <w14:solidFill>
              <w14:schemeClr w14:val="tx1"/>
            </w14:solidFill>
          </w14:textFill>
        </w:rPr>
        <w:t>投标文件</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3.1 投标文件的组成</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3.1.1 </w:t>
      </w:r>
      <w:r>
        <w:rPr>
          <w:rFonts w:hint="eastAsia" w:ascii="宋体" w:hAnsi="宋体" w:cs="仿宋_GB2312"/>
          <w:color w:val="000000" w:themeColor="text1"/>
          <w:kern w:val="0"/>
          <w:highlight w:val="none"/>
          <w14:textFill>
            <w14:solidFill>
              <w14:schemeClr w14:val="tx1"/>
            </w14:solidFill>
          </w14:textFill>
        </w:rPr>
        <w:t>投标文件应包括下列内容：</w:t>
      </w:r>
    </w:p>
    <w:p>
      <w:pPr>
        <w:autoSpaceDE w:val="0"/>
        <w:autoSpaceDN w:val="0"/>
        <w:adjustRightInd w:val="0"/>
        <w:spacing w:line="360" w:lineRule="auto"/>
        <w:ind w:firstLine="420" w:firstLineChars="200"/>
        <w:jc w:val="left"/>
        <w:outlineLvl w:val="3"/>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一、投标函及投标函附录</w:t>
      </w:r>
    </w:p>
    <w:p>
      <w:pPr>
        <w:autoSpaceDE w:val="0"/>
        <w:autoSpaceDN w:val="0"/>
        <w:adjustRightInd w:val="0"/>
        <w:spacing w:line="360" w:lineRule="auto"/>
        <w:ind w:firstLine="420" w:firstLineChars="200"/>
        <w:jc w:val="left"/>
        <w:outlineLvl w:val="3"/>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二、法定代表人身份证明</w:t>
      </w:r>
    </w:p>
    <w:p>
      <w:pPr>
        <w:autoSpaceDE w:val="0"/>
        <w:autoSpaceDN w:val="0"/>
        <w:adjustRightInd w:val="0"/>
        <w:spacing w:line="360" w:lineRule="auto"/>
        <w:ind w:firstLine="420" w:firstLineChars="200"/>
        <w:jc w:val="left"/>
        <w:outlineLvl w:val="3"/>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三、授权委托书</w:t>
      </w:r>
    </w:p>
    <w:p>
      <w:pPr>
        <w:autoSpaceDE w:val="0"/>
        <w:autoSpaceDN w:val="0"/>
        <w:adjustRightInd w:val="0"/>
        <w:spacing w:line="360" w:lineRule="auto"/>
        <w:ind w:firstLine="420" w:firstLineChars="200"/>
        <w:jc w:val="left"/>
        <w:outlineLvl w:val="3"/>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四、售后服务承诺书</w:t>
      </w:r>
    </w:p>
    <w:p>
      <w:pPr>
        <w:autoSpaceDE w:val="0"/>
        <w:autoSpaceDN w:val="0"/>
        <w:adjustRightInd w:val="0"/>
        <w:spacing w:line="360" w:lineRule="auto"/>
        <w:ind w:firstLine="420" w:firstLineChars="200"/>
        <w:jc w:val="left"/>
        <w:outlineLvl w:val="3"/>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五、报价明细表</w:t>
      </w:r>
    </w:p>
    <w:p>
      <w:pPr>
        <w:autoSpaceDE w:val="0"/>
        <w:autoSpaceDN w:val="0"/>
        <w:adjustRightInd w:val="0"/>
        <w:spacing w:line="360" w:lineRule="auto"/>
        <w:ind w:firstLine="420" w:firstLineChars="200"/>
        <w:jc w:val="left"/>
        <w:outlineLvl w:val="3"/>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六、技术偏离表</w:t>
      </w:r>
    </w:p>
    <w:p>
      <w:pPr>
        <w:autoSpaceDE w:val="0"/>
        <w:autoSpaceDN w:val="0"/>
        <w:adjustRightInd w:val="0"/>
        <w:spacing w:line="360" w:lineRule="auto"/>
        <w:ind w:firstLine="420" w:firstLineChars="200"/>
        <w:jc w:val="left"/>
        <w:outlineLvl w:val="3"/>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七、无不良行为记录表</w:t>
      </w:r>
    </w:p>
    <w:p>
      <w:pPr>
        <w:autoSpaceDE w:val="0"/>
        <w:autoSpaceDN w:val="0"/>
        <w:adjustRightInd w:val="0"/>
        <w:spacing w:line="360" w:lineRule="auto"/>
        <w:ind w:firstLine="420" w:firstLineChars="200"/>
        <w:jc w:val="left"/>
        <w:outlineLvl w:val="3"/>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八、其他资料</w:t>
      </w:r>
    </w:p>
    <w:p>
      <w:pPr>
        <w:autoSpaceDE w:val="0"/>
        <w:autoSpaceDN w:val="0"/>
        <w:adjustRightInd w:val="0"/>
        <w:spacing w:line="360" w:lineRule="auto"/>
        <w:jc w:val="left"/>
        <w:outlineLvl w:val="3"/>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3.2 投标报价</w:t>
      </w:r>
    </w:p>
    <w:p>
      <w:pPr>
        <w:autoSpaceDE w:val="0"/>
        <w:autoSpaceDN w:val="0"/>
        <w:adjustRightInd w:val="0"/>
        <w:spacing w:line="360" w:lineRule="auto"/>
        <w:ind w:firstLine="539" w:firstLineChars="257"/>
        <w:jc w:val="left"/>
        <w:rPr>
          <w:rFonts w:hint="eastAsia"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3.2.1 投标货币</w:t>
      </w:r>
    </w:p>
    <w:p>
      <w:pPr>
        <w:autoSpaceDE w:val="0"/>
        <w:autoSpaceDN w:val="0"/>
        <w:adjustRightInd w:val="0"/>
        <w:spacing w:line="360" w:lineRule="auto"/>
        <w:ind w:firstLine="539" w:firstLineChars="257"/>
        <w:jc w:val="left"/>
        <w:rPr>
          <w:rFonts w:hint="eastAsia"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投标文件中投标报价全部采用人民币表示。</w:t>
      </w:r>
    </w:p>
    <w:p>
      <w:pPr>
        <w:autoSpaceDE w:val="0"/>
        <w:autoSpaceDN w:val="0"/>
        <w:adjustRightInd w:val="0"/>
        <w:spacing w:line="360" w:lineRule="auto"/>
        <w:ind w:firstLine="539" w:firstLineChars="257"/>
        <w:jc w:val="left"/>
        <w:rPr>
          <w:rFonts w:hint="eastAsia"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3.2.2 投标报价</w:t>
      </w:r>
    </w:p>
    <w:p>
      <w:pPr>
        <w:autoSpaceDE w:val="0"/>
        <w:autoSpaceDN w:val="0"/>
        <w:adjustRightInd w:val="0"/>
        <w:spacing w:line="360" w:lineRule="auto"/>
        <w:ind w:firstLine="539" w:firstLineChars="257"/>
        <w:jc w:val="left"/>
        <w:rPr>
          <w:rFonts w:hint="eastAsia"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（1） 供应商依据本项目采购文件、采购项目需求，并结合市场行情自主合理报价。</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（3） 投标报价应包括采购文件所确定的采购范围内的全部内容。</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（3）投标人只能提出一个不变价格，采购人不接受任何选择报价。如果投标人对某项报价进行保留或未计，均被认为已含在总报价内，超出采购人招标控制价的报价为废标。</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（4）投标人应考虑价格变化风险，必须交纳的各种保险费用、运费、安装调试、税金等一切费用。</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（5）投标报价不得低于企业成本。</w:t>
      </w:r>
    </w:p>
    <w:p>
      <w:pPr>
        <w:autoSpaceDE w:val="0"/>
        <w:autoSpaceDN w:val="0"/>
        <w:adjustRightInd w:val="0"/>
        <w:spacing w:line="360" w:lineRule="auto"/>
        <w:ind w:firstLine="539" w:firstLineChars="257"/>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3.2.3 在投标之前，投标单位须仔细阅读采购文件，如有问题须向采购人咨询。</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3.3 投标有效期</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3.3.1 </w:t>
      </w:r>
      <w:r>
        <w:rPr>
          <w:rFonts w:hint="eastAsia" w:ascii="宋体" w:hAnsi="宋体" w:cs="仿宋_GB2312"/>
          <w:color w:val="000000" w:themeColor="text1"/>
          <w:kern w:val="0"/>
          <w:highlight w:val="none"/>
          <w14:textFill>
            <w14:solidFill>
              <w14:schemeClr w14:val="tx1"/>
            </w14:solidFill>
          </w14:textFill>
        </w:rPr>
        <w:t>在供应商须知前附表规定的投标有效期内，供应商不得要求撤销或修改其投标文件。</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3.3.2 </w:t>
      </w:r>
      <w:r>
        <w:rPr>
          <w:rFonts w:hint="eastAsia" w:ascii="宋体" w:hAnsi="宋体" w:cs="仿宋_GB2312"/>
          <w:color w:val="000000" w:themeColor="text1"/>
          <w:kern w:val="0"/>
          <w:highlight w:val="none"/>
          <w14:textFill>
            <w14:solidFill>
              <w14:schemeClr w14:val="tx1"/>
            </w14:solidFill>
          </w14:textFill>
        </w:rPr>
        <w:t>出现特殊情况需要延长投标有效期的，采购人以书面形式通知所有供应商延长投标有效期，但不得要求或被允许修改或撤销其投标文件；供应商拒绝延长的，其投标失效。</w:t>
      </w:r>
    </w:p>
    <w:p>
      <w:pPr>
        <w:autoSpaceDE w:val="0"/>
        <w:autoSpaceDN w:val="0"/>
        <w:adjustRightInd w:val="0"/>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3.4资格审查资料</w:t>
      </w:r>
    </w:p>
    <w:p>
      <w:pPr>
        <w:autoSpaceDE w:val="0"/>
        <w:autoSpaceDN w:val="0"/>
        <w:adjustRightInd w:val="0"/>
        <w:spacing w:line="360" w:lineRule="auto"/>
        <w:jc w:val="left"/>
        <w:rPr>
          <w:rFonts w:hint="eastAsia" w:ascii="宋体" w:hAnsi="宋体"/>
          <w:b/>
          <w:bCs/>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 3.5.1 详见“1.4.1</w:t>
      </w:r>
      <w:r>
        <w:rPr>
          <w:rFonts w:hint="eastAsia" w:ascii="宋体" w:hAnsi="宋体" w:cs="仿宋_GB2312"/>
          <w:color w:val="000000" w:themeColor="text1"/>
          <w:kern w:val="0"/>
          <w:highlight w:val="none"/>
          <w14:textFill>
            <w14:solidFill>
              <w14:schemeClr w14:val="tx1"/>
            </w14:solidFill>
          </w14:textFill>
        </w:rPr>
        <w:t>供应商资质条件</w:t>
      </w:r>
      <w:r>
        <w:rPr>
          <w:rFonts w:hint="eastAsia" w:ascii="宋体" w:hAnsi="宋体"/>
          <w:color w:val="000000" w:themeColor="text1"/>
          <w:kern w:val="0"/>
          <w:highlight w:val="none"/>
          <w14:textFill>
            <w14:solidFill>
              <w14:schemeClr w14:val="tx1"/>
            </w14:solidFill>
          </w14:textFill>
        </w:rPr>
        <w:t>”</w:t>
      </w:r>
    </w:p>
    <w:p>
      <w:pPr>
        <w:autoSpaceDE w:val="0"/>
        <w:autoSpaceDN w:val="0"/>
        <w:adjustRightInd w:val="0"/>
        <w:spacing w:line="360" w:lineRule="auto"/>
        <w:ind w:firstLine="420" w:firstLineChars="200"/>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 3.5.2 不接受联合体投标。</w:t>
      </w:r>
    </w:p>
    <w:p>
      <w:pPr>
        <w:autoSpaceDE w:val="0"/>
        <w:autoSpaceDN w:val="0"/>
        <w:adjustRightInd w:val="0"/>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3.5备选投标方案</w:t>
      </w:r>
    </w:p>
    <w:p>
      <w:pPr>
        <w:autoSpaceDE w:val="0"/>
        <w:autoSpaceDN w:val="0"/>
        <w:adjustRightInd w:val="0"/>
        <w:spacing w:line="360" w:lineRule="auto"/>
        <w:jc w:val="left"/>
        <w:rPr>
          <w:rFonts w:hint="eastAsia"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    投标人不得递交备选投标方案。</w:t>
      </w:r>
    </w:p>
    <w:p>
      <w:pPr>
        <w:autoSpaceDE w:val="0"/>
        <w:autoSpaceDN w:val="0"/>
        <w:adjustRightInd w:val="0"/>
        <w:spacing w:line="360" w:lineRule="auto"/>
        <w:jc w:val="left"/>
        <w:rPr>
          <w:rFonts w:hint="eastAsia"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3.6 投标文件的编制</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3.6.1 </w:t>
      </w:r>
      <w:r>
        <w:rPr>
          <w:rFonts w:hint="eastAsia" w:ascii="宋体" w:hAnsi="宋体" w:cs="仿宋_GB2312"/>
          <w:color w:val="000000" w:themeColor="text1"/>
          <w:kern w:val="0"/>
          <w:highlight w:val="none"/>
          <w14:textFill>
            <w14:solidFill>
              <w14:schemeClr w14:val="tx1"/>
            </w14:solidFill>
          </w14:textFill>
        </w:rPr>
        <w:t>投标文件应按第六章“投标文件格式”进行编写，如有必要，可以增加附页，作为投标文件的组成部分。</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3.6.2 </w:t>
      </w:r>
      <w:r>
        <w:rPr>
          <w:rFonts w:hint="eastAsia" w:ascii="宋体" w:hAnsi="宋体" w:cs="仿宋_GB2312"/>
          <w:color w:val="000000" w:themeColor="text1"/>
          <w:kern w:val="0"/>
          <w:highlight w:val="none"/>
          <w14:textFill>
            <w14:solidFill>
              <w14:schemeClr w14:val="tx1"/>
            </w14:solidFill>
          </w14:textFill>
        </w:rPr>
        <w:t>投标文件应当对采购文件有关</w:t>
      </w:r>
      <w:r>
        <w:rPr>
          <w:rFonts w:hint="eastAsia" w:ascii="宋体" w:hAnsi="宋体"/>
          <w:color w:val="000000" w:themeColor="text1"/>
          <w:kern w:val="0"/>
          <w:highlight w:val="none"/>
          <w14:textFill>
            <w14:solidFill>
              <w14:schemeClr w14:val="tx1"/>
            </w14:solidFill>
          </w14:textFill>
        </w:rPr>
        <w:t>交货期</w:t>
      </w:r>
      <w:r>
        <w:rPr>
          <w:rFonts w:hint="eastAsia" w:ascii="宋体" w:hAnsi="宋体" w:cs="仿宋_GB2312"/>
          <w:color w:val="000000" w:themeColor="text1"/>
          <w:kern w:val="0"/>
          <w:highlight w:val="none"/>
          <w14:textFill>
            <w14:solidFill>
              <w14:schemeClr w14:val="tx1"/>
            </w14:solidFill>
          </w14:textFill>
        </w:rPr>
        <w:t>、投标有效期、质量要求、采购范围等实质性内容作出响应。</w:t>
      </w:r>
    </w:p>
    <w:p>
      <w:pPr>
        <w:autoSpaceDE w:val="0"/>
        <w:autoSpaceDN w:val="0"/>
        <w:adjustRightInd w:val="0"/>
        <w:spacing w:line="360" w:lineRule="auto"/>
        <w:jc w:val="left"/>
        <w:rPr>
          <w:rFonts w:hint="eastAsia" w:ascii="宋体" w:hAnsi="宋体"/>
          <w:color w:val="000000" w:themeColor="text1"/>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3.6.3 </w:t>
      </w:r>
      <w:r>
        <w:rPr>
          <w:rFonts w:hint="eastAsia" w:ascii="宋体" w:hAnsi="宋体"/>
          <w:color w:val="000000" w:themeColor="text1"/>
          <w:highlight w:val="none"/>
          <w14:textFill>
            <w14:solidFill>
              <w14:schemeClr w14:val="tx1"/>
            </w14:solidFill>
          </w14:textFill>
        </w:rPr>
        <w:t>1.）电子投标文件要求：电子投标文件全部采用电子文档，投标文件所附的证书证件均为原件扫描件并加盖投标企业电子签章；并按采购文件要求在相应位置加盖电子签章或签名，由投标人的法定代表人签字或加盖电子签章的，应附法定代表人身份证明，由代理人签字或加盖电子签章的，应附由法定代表人签署的授权委托书。</w:t>
      </w:r>
    </w:p>
    <w:p>
      <w:pPr>
        <w:autoSpaceDE w:val="0"/>
        <w:autoSpaceDN w:val="0"/>
        <w:adjustRightInd w:val="0"/>
        <w:spacing w:line="360" w:lineRule="auto"/>
        <w:jc w:val="left"/>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2、）电子投标文件中所附原件扫描件资料均需加盖企业电子签章。</w:t>
      </w:r>
    </w:p>
    <w:p>
      <w:pPr>
        <w:autoSpaceDE w:val="0"/>
        <w:autoSpaceDN w:val="0"/>
        <w:adjustRightInd w:val="0"/>
        <w:spacing w:line="360" w:lineRule="auto"/>
        <w:jc w:val="left"/>
        <w:rPr>
          <w:rFonts w:hint="eastAsia" w:ascii="宋体" w:hAnsi="宋体" w:cs="TimesNewRomanPSMT"/>
          <w:color w:val="000000" w:themeColor="text1"/>
          <w:kern w:val="0"/>
          <w:highlight w:val="none"/>
          <w14:textFill>
            <w14:solidFill>
              <w14:schemeClr w14:val="tx1"/>
            </w14:solidFill>
          </w14:textFill>
        </w:rPr>
      </w:pPr>
      <w:bookmarkStart w:id="42" w:name="_Toc239762530"/>
      <w:bookmarkEnd w:id="42"/>
      <w:bookmarkStart w:id="43" w:name="_Toc24994"/>
      <w:r>
        <w:rPr>
          <w:rFonts w:hint="eastAsia" w:ascii="宋体" w:hAnsi="宋体" w:cs="TimesNewRomanPSMT"/>
          <w:color w:val="000000" w:themeColor="text1"/>
          <w:kern w:val="0"/>
          <w:highlight w:val="none"/>
          <w14:textFill>
            <w14:solidFill>
              <w14:schemeClr w14:val="tx1"/>
            </w14:solidFill>
          </w14:textFill>
        </w:rPr>
        <w:t xml:space="preserve">4. </w:t>
      </w:r>
      <w:bookmarkEnd w:id="43"/>
      <w:r>
        <w:rPr>
          <w:rFonts w:hint="eastAsia" w:ascii="宋体" w:hAnsi="宋体" w:cs="TimesNewRomanPSMT"/>
          <w:color w:val="000000" w:themeColor="text1"/>
          <w:kern w:val="0"/>
          <w:highlight w:val="none"/>
          <w14:textFill>
            <w14:solidFill>
              <w14:schemeClr w14:val="tx1"/>
            </w14:solidFill>
          </w14:textFill>
        </w:rPr>
        <w:t>投标</w:t>
      </w:r>
    </w:p>
    <w:p>
      <w:pPr>
        <w:autoSpaceDE w:val="0"/>
        <w:autoSpaceDN w:val="0"/>
        <w:adjustRightInd w:val="0"/>
        <w:spacing w:line="360" w:lineRule="auto"/>
        <w:jc w:val="left"/>
        <w:rPr>
          <w:rFonts w:hint="eastAsia" w:ascii="黑体" w:hAnsi="新宋体" w:eastAsia="黑体" w:cs="宋体"/>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4.1 投标文件的密封和标记（本项目不适用）</w:t>
      </w:r>
    </w:p>
    <w:p>
      <w:pPr>
        <w:autoSpaceDE w:val="0"/>
        <w:autoSpaceDN w:val="0"/>
        <w:adjustRightInd w:val="0"/>
        <w:spacing w:line="360" w:lineRule="auto"/>
        <w:jc w:val="left"/>
        <w:rPr>
          <w:rFonts w:hint="eastAsia" w:ascii="黑体" w:hAnsi="新宋体" w:eastAsia="黑体" w:cs="宋体"/>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4.2 投标文件的递交</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4.2.1 </w:t>
      </w:r>
      <w:r>
        <w:rPr>
          <w:rFonts w:hint="eastAsia" w:ascii="宋体" w:hAnsi="宋体" w:cs="仿宋_GB2312"/>
          <w:color w:val="000000" w:themeColor="text1"/>
          <w:kern w:val="0"/>
          <w:highlight w:val="none"/>
          <w14:textFill>
            <w14:solidFill>
              <w14:schemeClr w14:val="tx1"/>
            </w14:solidFill>
          </w14:textFill>
        </w:rPr>
        <w:t>供应商应在本章供应商须知前附表规定的投标截止时间前递交投标文件。</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4.2.2 </w:t>
      </w:r>
      <w:r>
        <w:rPr>
          <w:rFonts w:hint="eastAsia" w:ascii="宋体" w:hAnsi="宋体" w:cs="仿宋_GB2312"/>
          <w:color w:val="000000" w:themeColor="text1"/>
          <w:kern w:val="0"/>
          <w:highlight w:val="none"/>
          <w14:textFill>
            <w14:solidFill>
              <w14:schemeClr w14:val="tx1"/>
            </w14:solidFill>
          </w14:textFill>
        </w:rPr>
        <w:t>供应商递交投标文件的地点：见供应商须知前附表。</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4.2.3 </w:t>
      </w:r>
      <w:r>
        <w:rPr>
          <w:rFonts w:hint="eastAsia" w:ascii="宋体" w:hAnsi="宋体" w:cs="仿宋_GB2312"/>
          <w:color w:val="000000" w:themeColor="text1"/>
          <w:kern w:val="0"/>
          <w:highlight w:val="none"/>
          <w14:textFill>
            <w14:solidFill>
              <w14:schemeClr w14:val="tx1"/>
            </w14:solidFill>
          </w14:textFill>
        </w:rPr>
        <w:t>除供应商须知前附表另有规定外，供应商所递交的投标文件不予退还。</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4.2.4</w:t>
      </w:r>
      <w:r>
        <w:rPr>
          <w:rFonts w:hint="eastAsia" w:ascii="宋体" w:hAnsi="宋体" w:cs="仿宋_GB2312"/>
          <w:color w:val="000000" w:themeColor="text1"/>
          <w:kern w:val="0"/>
          <w:highlight w:val="none"/>
          <w14:textFill>
            <w14:solidFill>
              <w14:schemeClr w14:val="tx1"/>
            </w14:solidFill>
          </w14:textFill>
        </w:rPr>
        <w:t>逾期送达的或者未送达指定地点的投标文件，采购人不予受理。</w:t>
      </w:r>
    </w:p>
    <w:p>
      <w:pPr>
        <w:autoSpaceDE w:val="0"/>
        <w:autoSpaceDN w:val="0"/>
        <w:adjustRightInd w:val="0"/>
        <w:spacing w:line="360" w:lineRule="auto"/>
        <w:jc w:val="left"/>
        <w:outlineLvl w:val="3"/>
        <w:rPr>
          <w:rFonts w:hint="eastAsia"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4.3 投标文件的修改与撤回</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4.3.1 </w:t>
      </w:r>
      <w:r>
        <w:rPr>
          <w:rFonts w:hint="eastAsia" w:ascii="宋体" w:hAnsi="宋体" w:cs="仿宋_GB2312"/>
          <w:color w:val="000000" w:themeColor="text1"/>
          <w:kern w:val="0"/>
          <w:highlight w:val="none"/>
          <w14:textFill>
            <w14:solidFill>
              <w14:schemeClr w14:val="tx1"/>
            </w14:solidFill>
          </w14:textFill>
        </w:rPr>
        <w:t>在本章供应商须知前附表第</w:t>
      </w:r>
      <w:r>
        <w:rPr>
          <w:rFonts w:hint="eastAsia" w:ascii="宋体" w:hAnsi="宋体" w:cs="TimesNewRomanPSMT"/>
          <w:color w:val="000000" w:themeColor="text1"/>
          <w:kern w:val="0"/>
          <w:highlight w:val="none"/>
          <w14:textFill>
            <w14:solidFill>
              <w14:schemeClr w14:val="tx1"/>
            </w14:solidFill>
          </w14:textFill>
        </w:rPr>
        <w:t xml:space="preserve">2.2.2 </w:t>
      </w:r>
      <w:r>
        <w:rPr>
          <w:rFonts w:hint="eastAsia" w:ascii="宋体" w:hAnsi="宋体" w:cs="仿宋_GB2312"/>
          <w:color w:val="000000" w:themeColor="text1"/>
          <w:kern w:val="0"/>
          <w:highlight w:val="none"/>
          <w14:textFill>
            <w14:solidFill>
              <w14:schemeClr w14:val="tx1"/>
            </w14:solidFill>
          </w14:textFill>
        </w:rPr>
        <w:t>项规定的投标截止时间前，供应商可以修改或撤回已递交的投标文件。</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4.3.2 </w:t>
      </w:r>
      <w:r>
        <w:rPr>
          <w:rFonts w:hint="eastAsia" w:ascii="宋体" w:hAnsi="宋体" w:cs="仿宋_GB2312"/>
          <w:color w:val="000000" w:themeColor="text1"/>
          <w:kern w:val="0"/>
          <w:highlight w:val="none"/>
          <w14:textFill>
            <w14:solidFill>
              <w14:schemeClr w14:val="tx1"/>
            </w14:solidFill>
          </w14:textFill>
        </w:rPr>
        <w:t>供应商修改或撤回已递交投标文件的书面通知应按照本章第</w:t>
      </w:r>
      <w:r>
        <w:rPr>
          <w:rFonts w:hint="eastAsia" w:ascii="宋体" w:hAnsi="宋体" w:cs="TimesNewRomanPSMT"/>
          <w:color w:val="000000" w:themeColor="text1"/>
          <w:kern w:val="0"/>
          <w:highlight w:val="none"/>
          <w14:textFill>
            <w14:solidFill>
              <w14:schemeClr w14:val="tx1"/>
            </w14:solidFill>
          </w14:textFill>
        </w:rPr>
        <w:t xml:space="preserve">3.6.3 </w:t>
      </w:r>
      <w:r>
        <w:rPr>
          <w:rFonts w:hint="eastAsia" w:ascii="宋体" w:hAnsi="宋体" w:cs="仿宋_GB2312"/>
          <w:color w:val="000000" w:themeColor="text1"/>
          <w:kern w:val="0"/>
          <w:highlight w:val="none"/>
          <w14:textFill>
            <w14:solidFill>
              <w14:schemeClr w14:val="tx1"/>
            </w14:solidFill>
          </w14:textFill>
        </w:rPr>
        <w:t>项的要求签字并加盖单位章。采购人收到书面通知后，向供应商出具签收凭证。</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4.3.3 </w:t>
      </w:r>
      <w:r>
        <w:rPr>
          <w:rFonts w:hint="eastAsia" w:ascii="宋体" w:hAnsi="宋体" w:cs="仿宋_GB2312"/>
          <w:color w:val="000000" w:themeColor="text1"/>
          <w:kern w:val="0"/>
          <w:highlight w:val="none"/>
          <w14:textFill>
            <w14:solidFill>
              <w14:schemeClr w14:val="tx1"/>
            </w14:solidFill>
          </w14:textFill>
        </w:rPr>
        <w:t>修改的内容为投标文件的组成部分。修改的投标文件应按照本章第</w:t>
      </w:r>
      <w:r>
        <w:rPr>
          <w:rFonts w:hint="eastAsia" w:ascii="宋体" w:hAnsi="宋体" w:cs="TimesNewRomanPSMT"/>
          <w:color w:val="000000" w:themeColor="text1"/>
          <w:kern w:val="0"/>
          <w:highlight w:val="none"/>
          <w14:textFill>
            <w14:solidFill>
              <w14:schemeClr w14:val="tx1"/>
            </w14:solidFill>
          </w14:textFill>
        </w:rPr>
        <w:t xml:space="preserve">3 </w:t>
      </w:r>
      <w:r>
        <w:rPr>
          <w:rFonts w:hint="eastAsia" w:ascii="宋体" w:hAnsi="宋体" w:cs="仿宋_GB2312"/>
          <w:color w:val="000000" w:themeColor="text1"/>
          <w:kern w:val="0"/>
          <w:highlight w:val="none"/>
          <w14:textFill>
            <w14:solidFill>
              <w14:schemeClr w14:val="tx1"/>
            </w14:solidFill>
          </w14:textFill>
        </w:rPr>
        <w:t>条、第</w:t>
      </w:r>
      <w:r>
        <w:rPr>
          <w:rFonts w:hint="eastAsia" w:ascii="宋体" w:hAnsi="宋体" w:cs="TimesNewRomanPSMT"/>
          <w:color w:val="000000" w:themeColor="text1"/>
          <w:kern w:val="0"/>
          <w:highlight w:val="none"/>
          <w14:textFill>
            <w14:solidFill>
              <w14:schemeClr w14:val="tx1"/>
            </w14:solidFill>
          </w14:textFill>
        </w:rPr>
        <w:t xml:space="preserve">4 </w:t>
      </w:r>
      <w:r>
        <w:rPr>
          <w:rFonts w:hint="eastAsia" w:ascii="宋体" w:hAnsi="宋体" w:cs="仿宋_GB2312"/>
          <w:color w:val="000000" w:themeColor="text1"/>
          <w:kern w:val="0"/>
          <w:highlight w:val="none"/>
          <w14:textFill>
            <w14:solidFill>
              <w14:schemeClr w14:val="tx1"/>
            </w14:solidFill>
          </w14:textFill>
        </w:rPr>
        <w:t>条规定进行编制和递交，并标明“修改”字样。</w:t>
      </w:r>
    </w:p>
    <w:p>
      <w:pPr>
        <w:spacing w:line="360" w:lineRule="auto"/>
        <w:rPr>
          <w:rFonts w:hint="eastAsia" w:ascii="宋体" w:hAnsi="宋体"/>
          <w:b/>
          <w:bCs/>
          <w:color w:val="000000" w:themeColor="text1"/>
          <w:highlight w:val="none"/>
          <w14:textFill>
            <w14:solidFill>
              <w14:schemeClr w14:val="tx1"/>
            </w14:solidFill>
          </w14:textFill>
        </w:rPr>
      </w:pPr>
      <w:r>
        <w:rPr>
          <w:rFonts w:hint="eastAsia" w:ascii="宋体" w:hAnsi="宋体" w:cs="仿宋_GB2312"/>
          <w:b/>
          <w:bCs/>
          <w:color w:val="000000" w:themeColor="text1"/>
          <w:kern w:val="0"/>
          <w:highlight w:val="none"/>
          <w14:textFill>
            <w14:solidFill>
              <w14:schemeClr w14:val="tx1"/>
            </w14:solidFill>
          </w14:textFill>
        </w:rPr>
        <w:t xml:space="preserve">4.4 </w:t>
      </w:r>
      <w:r>
        <w:rPr>
          <w:rFonts w:hint="eastAsia" w:ascii="宋体" w:hAnsi="宋体"/>
          <w:b/>
          <w:bCs/>
          <w:color w:val="000000" w:themeColor="text1"/>
          <w:highlight w:val="none"/>
          <w14:textFill>
            <w14:solidFill>
              <w14:schemeClr w14:val="tx1"/>
            </w14:solidFill>
          </w14:textFill>
        </w:rPr>
        <w:t>评标中有下列情形之一的，其投标将会被拒绝：</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4.4.1 无单位盖章或无法定代表人或法定代表人授权的代理人签字的； </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4.4.2 未按规定的格式填写，内容不全或关键字迹模糊、无法辨认的； </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4.4.3 供应商递交两份或多份内容不同的投标文件，或在一份投标文件中对同一采购项目报有两个或多个报价，且未声明哪一个有效，按采购文件规定提交备选投标方案的除外； </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4.4.4 联合体投标的；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4.4.5 不按评标委员会要求澄清、说明或补正的；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4.4.6 投标文件载明的采购项目完成交货期超过采购文件规定的期限；</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4.4.7 明显不符合采购要求、技术标准的要求；</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4.4.8 投标文件附加有采购人不能接受的条件的；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4.4.9供应商以他人的名义投标、串通投标、欺诈、威胁、以行贿手段或其他弄虚作假方式谋取中标采取可能影响评标公正性的不正当手段的；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4.4.10不符合采购文件中规定的其他实质性要求的；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4.4.11投标行为违反采购投标法以及相关法律、法规和规定的。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bookmarkStart w:id="44" w:name="_Toc20186"/>
      <w:bookmarkEnd w:id="44"/>
      <w:bookmarkStart w:id="45" w:name="_Toc239762531"/>
      <w:r>
        <w:rPr>
          <w:rFonts w:hint="eastAsia" w:ascii="宋体" w:hAnsi="宋体" w:cs="仿宋_GB2312"/>
          <w:color w:val="000000" w:themeColor="text1"/>
          <w:kern w:val="0"/>
          <w:highlight w:val="none"/>
          <w14:textFill>
            <w14:solidFill>
              <w14:schemeClr w14:val="tx1"/>
            </w14:solidFill>
          </w14:textFill>
        </w:rPr>
        <w:t xml:space="preserve">5. </w:t>
      </w:r>
      <w:bookmarkEnd w:id="45"/>
      <w:r>
        <w:rPr>
          <w:rFonts w:hint="eastAsia" w:ascii="宋体" w:hAnsi="宋体" w:cs="仿宋_GB2312"/>
          <w:color w:val="000000" w:themeColor="text1"/>
          <w:kern w:val="0"/>
          <w:highlight w:val="none"/>
          <w14:textFill>
            <w14:solidFill>
              <w14:schemeClr w14:val="tx1"/>
            </w14:solidFill>
          </w14:textFill>
        </w:rPr>
        <w:t>开标</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5.1 开标时间和地点</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采购人在本章供应商须知前附表第</w:t>
      </w:r>
      <w:r>
        <w:rPr>
          <w:rFonts w:hint="eastAsia" w:ascii="宋体" w:hAnsi="宋体" w:cs="TimesNewRomanPSMT"/>
          <w:color w:val="000000" w:themeColor="text1"/>
          <w:kern w:val="0"/>
          <w:highlight w:val="none"/>
          <w14:textFill>
            <w14:solidFill>
              <w14:schemeClr w14:val="tx1"/>
            </w14:solidFill>
          </w14:textFill>
        </w:rPr>
        <w:t xml:space="preserve">2.2.2 </w:t>
      </w:r>
      <w:r>
        <w:rPr>
          <w:rFonts w:hint="eastAsia" w:ascii="宋体" w:hAnsi="宋体" w:cs="仿宋_GB2312"/>
          <w:color w:val="000000" w:themeColor="text1"/>
          <w:kern w:val="0"/>
          <w:highlight w:val="none"/>
          <w14:textFill>
            <w14:solidFill>
              <w14:schemeClr w14:val="tx1"/>
            </w14:solidFill>
          </w14:textFill>
        </w:rPr>
        <w:t>项规定的投标截止时间（开标时间）和本章供应商须知前附表第5.1项规定的地点公开开标。</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5.2 开标程序</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主持人按下列程序进行开标：</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1</w:t>
      </w:r>
      <w:r>
        <w:rPr>
          <w:rFonts w:hint="eastAsia" w:ascii="宋体" w:hAnsi="宋体" w:cs="仿宋_GB2312"/>
          <w:color w:val="000000" w:themeColor="text1"/>
          <w:kern w:val="0"/>
          <w:highlight w:val="none"/>
          <w14:textFill>
            <w14:solidFill>
              <w14:schemeClr w14:val="tx1"/>
            </w14:solidFill>
          </w14:textFill>
        </w:rPr>
        <w:t>）宣布开标纪律；</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2</w:t>
      </w:r>
      <w:r>
        <w:rPr>
          <w:rFonts w:hint="eastAsia" w:ascii="宋体" w:hAnsi="宋体" w:cs="仿宋_GB2312"/>
          <w:color w:val="000000" w:themeColor="text1"/>
          <w:kern w:val="0"/>
          <w:highlight w:val="none"/>
          <w14:textFill>
            <w14:solidFill>
              <w14:schemeClr w14:val="tx1"/>
            </w14:solidFill>
          </w14:textFill>
        </w:rPr>
        <w:t>）公布在投标截止时间前递交投标文件的供应商名称；</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3</w:t>
      </w:r>
      <w:r>
        <w:rPr>
          <w:rFonts w:hint="eastAsia" w:ascii="宋体" w:hAnsi="宋体" w:cs="仿宋_GB2312"/>
          <w:color w:val="000000" w:themeColor="text1"/>
          <w:kern w:val="0"/>
          <w:highlight w:val="none"/>
          <w14:textFill>
            <w14:solidFill>
              <w14:schemeClr w14:val="tx1"/>
            </w14:solidFill>
          </w14:textFill>
        </w:rPr>
        <w:t>）按要求解密；</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4</w:t>
      </w:r>
      <w:r>
        <w:rPr>
          <w:rFonts w:hint="eastAsia" w:ascii="宋体" w:hAnsi="宋体" w:cs="仿宋_GB2312"/>
          <w:color w:val="000000" w:themeColor="text1"/>
          <w:kern w:val="0"/>
          <w:highlight w:val="none"/>
          <w14:textFill>
            <w14:solidFill>
              <w14:schemeClr w14:val="tx1"/>
            </w14:solidFill>
          </w14:textFill>
        </w:rPr>
        <w:t>）供应商代表、采购人代表、监标人、记录人等有关人员在开标记录上签字确认；</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7</w:t>
      </w:r>
      <w:r>
        <w:rPr>
          <w:rFonts w:hint="eastAsia" w:ascii="宋体" w:hAnsi="宋体" w:cs="仿宋_GB2312"/>
          <w:color w:val="000000" w:themeColor="text1"/>
          <w:kern w:val="0"/>
          <w:highlight w:val="none"/>
          <w14:textFill>
            <w14:solidFill>
              <w14:schemeClr w14:val="tx1"/>
            </w14:solidFill>
          </w14:textFill>
        </w:rPr>
        <w:t>）开标结束。</w:t>
      </w:r>
    </w:p>
    <w:p>
      <w:pPr>
        <w:autoSpaceDE w:val="0"/>
        <w:autoSpaceDN w:val="0"/>
        <w:adjustRightInd w:val="0"/>
        <w:spacing w:line="360" w:lineRule="auto"/>
        <w:jc w:val="left"/>
        <w:rPr>
          <w:rFonts w:hint="eastAsia" w:ascii="宋体" w:hAnsi="宋体" w:cs="TimesNewRomanPSMT"/>
          <w:color w:val="000000" w:themeColor="text1"/>
          <w:kern w:val="0"/>
          <w:highlight w:val="none"/>
          <w14:textFill>
            <w14:solidFill>
              <w14:schemeClr w14:val="tx1"/>
            </w14:solidFill>
          </w14:textFill>
        </w:rPr>
      </w:pPr>
      <w:bookmarkStart w:id="46" w:name="_Toc239762532"/>
      <w:bookmarkEnd w:id="46"/>
      <w:bookmarkStart w:id="47" w:name="_Toc23590"/>
      <w:r>
        <w:rPr>
          <w:rFonts w:hint="eastAsia" w:ascii="宋体" w:hAnsi="宋体" w:cs="TimesNewRomanPSMT"/>
          <w:color w:val="000000" w:themeColor="text1"/>
          <w:kern w:val="0"/>
          <w:highlight w:val="none"/>
          <w14:textFill>
            <w14:solidFill>
              <w14:schemeClr w14:val="tx1"/>
            </w14:solidFill>
          </w14:textFill>
        </w:rPr>
        <w:t xml:space="preserve">6. </w:t>
      </w:r>
      <w:bookmarkEnd w:id="47"/>
      <w:r>
        <w:rPr>
          <w:rFonts w:hint="eastAsia" w:ascii="宋体" w:hAnsi="宋体" w:cs="TimesNewRomanPSMT"/>
          <w:color w:val="000000" w:themeColor="text1"/>
          <w:kern w:val="0"/>
          <w:highlight w:val="none"/>
          <w14:textFill>
            <w14:solidFill>
              <w14:schemeClr w14:val="tx1"/>
            </w14:solidFill>
          </w14:textFill>
        </w:rPr>
        <w:t>评标</w:t>
      </w:r>
    </w:p>
    <w:p>
      <w:pPr>
        <w:autoSpaceDE w:val="0"/>
        <w:autoSpaceDN w:val="0"/>
        <w:adjustRightInd w:val="0"/>
        <w:spacing w:line="360" w:lineRule="auto"/>
        <w:jc w:val="left"/>
        <w:rPr>
          <w:rFonts w:hint="eastAsia"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6.1 评标委员会</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6.1.1 </w:t>
      </w:r>
      <w:r>
        <w:rPr>
          <w:rFonts w:hint="eastAsia" w:ascii="宋体" w:hAnsi="宋体" w:cs="仿宋_GB2312"/>
          <w:color w:val="000000" w:themeColor="text1"/>
          <w:kern w:val="0"/>
          <w:highlight w:val="none"/>
          <w14:textFill>
            <w14:solidFill>
              <w14:schemeClr w14:val="tx1"/>
            </w14:solidFill>
          </w14:textFill>
        </w:rPr>
        <w:t>评标由采购人依法组建的评标委员会负责。评标委员会由有关技术、经济等方面的专家组成。评标委员会成员人数以及技术、经济等方面专家的确定方式见供应商须知前附表。</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6.1.2 </w:t>
      </w:r>
      <w:r>
        <w:rPr>
          <w:rFonts w:hint="eastAsia" w:ascii="宋体" w:hAnsi="宋体" w:cs="仿宋_GB2312"/>
          <w:color w:val="000000" w:themeColor="text1"/>
          <w:kern w:val="0"/>
          <w:highlight w:val="none"/>
          <w14:textFill>
            <w14:solidFill>
              <w14:schemeClr w14:val="tx1"/>
            </w14:solidFill>
          </w14:textFill>
        </w:rPr>
        <w:t>评标委员会成员有下列情形之一的，应当回避：</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1</w:t>
      </w:r>
      <w:r>
        <w:rPr>
          <w:rFonts w:hint="eastAsia" w:ascii="宋体" w:hAnsi="宋体" w:cs="仿宋_GB2312"/>
          <w:color w:val="000000" w:themeColor="text1"/>
          <w:kern w:val="0"/>
          <w:highlight w:val="none"/>
          <w14:textFill>
            <w14:solidFill>
              <w14:schemeClr w14:val="tx1"/>
            </w14:solidFill>
          </w14:textFill>
        </w:rPr>
        <w:t>）采购人或供应商的主要负责人的近亲属；</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2</w:t>
      </w:r>
      <w:r>
        <w:rPr>
          <w:rFonts w:hint="eastAsia" w:ascii="宋体" w:hAnsi="宋体" w:cs="仿宋_GB2312"/>
          <w:color w:val="000000" w:themeColor="text1"/>
          <w:kern w:val="0"/>
          <w:highlight w:val="none"/>
          <w14:textFill>
            <w14:solidFill>
              <w14:schemeClr w14:val="tx1"/>
            </w14:solidFill>
          </w14:textFill>
        </w:rPr>
        <w:t>）项目主管部门或者行政监督部门的人员；</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3</w:t>
      </w:r>
      <w:r>
        <w:rPr>
          <w:rFonts w:hint="eastAsia" w:ascii="宋体" w:hAnsi="宋体" w:cs="仿宋_GB2312"/>
          <w:color w:val="000000" w:themeColor="text1"/>
          <w:kern w:val="0"/>
          <w:highlight w:val="none"/>
          <w14:textFill>
            <w14:solidFill>
              <w14:schemeClr w14:val="tx1"/>
            </w14:solidFill>
          </w14:textFill>
        </w:rPr>
        <w:t>）与供应商有经济利益关系，可能影响对投标公正评审的；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4</w:t>
      </w:r>
      <w:r>
        <w:rPr>
          <w:rFonts w:hint="eastAsia" w:ascii="宋体" w:hAnsi="宋体" w:cs="仿宋_GB2312"/>
          <w:color w:val="000000" w:themeColor="text1"/>
          <w:kern w:val="0"/>
          <w:highlight w:val="none"/>
          <w14:textFill>
            <w14:solidFill>
              <w14:schemeClr w14:val="tx1"/>
            </w14:solidFill>
          </w14:textFill>
        </w:rPr>
        <w:t>）曾因在采购、评标以及其他与采购投标有关活动中从事违法行为而受过行政处罚或刑事处罚的。</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6.2 评标原则</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评标活动遵循公平、公正、科学和择优的原则。</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6.3 评标</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评标委员会按照第三章“评标办法”规定的方法、标准和程序对投标文件进行评审。第三章“评标办法”没有规定的方法、标准，不作为评标依据。</w:t>
      </w:r>
    </w:p>
    <w:p>
      <w:pPr>
        <w:pStyle w:val="2"/>
        <w:spacing w:line="360" w:lineRule="auto"/>
        <w:jc w:val="both"/>
        <w:outlineLvl w:val="2"/>
        <w:rPr>
          <w:rFonts w:hint="eastAsia" w:hAnsi="宋体" w:cs="仿宋_GB2312"/>
          <w:color w:val="000000" w:themeColor="text1"/>
          <w:sz w:val="21"/>
          <w:szCs w:val="21"/>
          <w:highlight w:val="none"/>
          <w14:textFill>
            <w14:solidFill>
              <w14:schemeClr w14:val="tx1"/>
            </w14:solidFill>
          </w14:textFill>
        </w:rPr>
      </w:pPr>
      <w:bookmarkStart w:id="48" w:name="_Toc239762533"/>
      <w:bookmarkEnd w:id="48"/>
      <w:bookmarkStart w:id="49" w:name="_Toc19417"/>
      <w:r>
        <w:rPr>
          <w:rFonts w:hint="eastAsia" w:hAnsi="宋体" w:cs="仿宋_GB2312"/>
          <w:color w:val="000000" w:themeColor="text1"/>
          <w:sz w:val="21"/>
          <w:szCs w:val="21"/>
          <w:highlight w:val="none"/>
          <w14:textFill>
            <w14:solidFill>
              <w14:schemeClr w14:val="tx1"/>
            </w14:solidFill>
          </w14:textFill>
        </w:rPr>
        <w:t xml:space="preserve">7. </w:t>
      </w:r>
      <w:bookmarkEnd w:id="49"/>
      <w:r>
        <w:rPr>
          <w:rFonts w:hint="eastAsia" w:hAnsi="宋体" w:cs="仿宋_GB2312"/>
          <w:color w:val="000000" w:themeColor="text1"/>
          <w:sz w:val="21"/>
          <w:szCs w:val="21"/>
          <w:highlight w:val="none"/>
          <w14:textFill>
            <w14:solidFill>
              <w14:schemeClr w14:val="tx1"/>
            </w14:solidFill>
          </w14:textFill>
        </w:rPr>
        <w:t>合同授予</w:t>
      </w:r>
    </w:p>
    <w:p>
      <w:pPr>
        <w:autoSpaceDE w:val="0"/>
        <w:autoSpaceDN w:val="0"/>
        <w:adjustRightInd w:val="0"/>
        <w:spacing w:line="360" w:lineRule="auto"/>
        <w:jc w:val="left"/>
        <w:outlineLvl w:val="3"/>
        <w:rPr>
          <w:rFonts w:hint="eastAsia" w:ascii="宋体" w:hAnsi="宋体" w:cs="仿宋_GB2312"/>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7.1 定标方式</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7.1.1 除供应商须知前附表规定评标委员会直接确定中标人外，采购人依据评标委员会推荐的中标候选人的顺序确定中标人，评标委员会推荐中标候选人的人数见供应商须知前附表。</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7.2 中标通知</w:t>
      </w:r>
    </w:p>
    <w:p>
      <w:pPr>
        <w:autoSpaceDE w:val="0"/>
        <w:autoSpaceDN w:val="0"/>
        <w:adjustRightInd w:val="0"/>
        <w:spacing w:line="360" w:lineRule="auto"/>
        <w:ind w:firstLine="420" w:firstLineChars="200"/>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在本章第</w:t>
      </w:r>
      <w:r>
        <w:rPr>
          <w:rFonts w:hint="eastAsia" w:ascii="宋体" w:hAnsi="宋体" w:cs="TimesNewRomanPSMT"/>
          <w:color w:val="000000" w:themeColor="text1"/>
          <w:kern w:val="0"/>
          <w:highlight w:val="none"/>
          <w14:textFill>
            <w14:solidFill>
              <w14:schemeClr w14:val="tx1"/>
            </w14:solidFill>
          </w14:textFill>
        </w:rPr>
        <w:t xml:space="preserve">3.3 </w:t>
      </w:r>
      <w:r>
        <w:rPr>
          <w:rFonts w:hint="eastAsia" w:ascii="宋体" w:hAnsi="宋体" w:cs="仿宋_GB2312"/>
          <w:color w:val="000000" w:themeColor="text1"/>
          <w:kern w:val="0"/>
          <w:highlight w:val="none"/>
          <w14:textFill>
            <w14:solidFill>
              <w14:schemeClr w14:val="tx1"/>
            </w14:solidFill>
          </w14:textFill>
        </w:rPr>
        <w:t>款规定的投标有效期内，采购人以书面形式向中标人发出中标通知书，同时将中标结果通知未中标的供应商。</w:t>
      </w:r>
    </w:p>
    <w:p>
      <w:pPr>
        <w:autoSpaceDE w:val="0"/>
        <w:autoSpaceDN w:val="0"/>
        <w:adjustRightInd w:val="0"/>
        <w:spacing w:line="360" w:lineRule="auto"/>
        <w:jc w:val="left"/>
        <w:rPr>
          <w:rFonts w:hint="eastAsia"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7.3 履约担保</w:t>
      </w:r>
    </w:p>
    <w:p>
      <w:pPr>
        <w:autoSpaceDE w:val="0"/>
        <w:autoSpaceDN w:val="0"/>
        <w:adjustRightInd w:val="0"/>
        <w:spacing w:line="360" w:lineRule="auto"/>
        <w:jc w:val="left"/>
        <w:rPr>
          <w:rFonts w:hint="eastAsia"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7.3.1 中标人确定后，中标人应向采购人提交履约保证金。（根据招标人需求）</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7.3.2 </w:t>
      </w:r>
      <w:r>
        <w:rPr>
          <w:rFonts w:hint="eastAsia" w:ascii="宋体" w:hAnsi="宋体" w:cs="仿宋_GB2312"/>
          <w:color w:val="000000" w:themeColor="text1"/>
          <w:kern w:val="0"/>
          <w:highlight w:val="none"/>
          <w14:textFill>
            <w14:solidFill>
              <w14:schemeClr w14:val="tx1"/>
            </w14:solidFill>
          </w14:textFill>
        </w:rPr>
        <w:t>中标人不能按本章第</w:t>
      </w:r>
      <w:r>
        <w:rPr>
          <w:rFonts w:hint="eastAsia" w:ascii="宋体" w:hAnsi="宋体" w:cs="TimesNewRomanPSMT"/>
          <w:color w:val="000000" w:themeColor="text1"/>
          <w:kern w:val="0"/>
          <w:highlight w:val="none"/>
          <w14:textFill>
            <w14:solidFill>
              <w14:schemeClr w14:val="tx1"/>
            </w14:solidFill>
          </w14:textFill>
        </w:rPr>
        <w:t xml:space="preserve">7.3.1 </w:t>
      </w:r>
      <w:r>
        <w:rPr>
          <w:rFonts w:hint="eastAsia" w:ascii="宋体" w:hAnsi="宋体" w:cs="仿宋_GB2312"/>
          <w:color w:val="000000" w:themeColor="text1"/>
          <w:kern w:val="0"/>
          <w:highlight w:val="none"/>
          <w14:textFill>
            <w14:solidFill>
              <w14:schemeClr w14:val="tx1"/>
            </w14:solidFill>
          </w14:textFill>
        </w:rPr>
        <w:t>项要求提交履约担保的，视为放弃中标，给采购人造成的损失的，中标人还应当予以赔偿。</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7.4 签订合同</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7.4.1 </w:t>
      </w:r>
      <w:r>
        <w:rPr>
          <w:rFonts w:hint="eastAsia" w:ascii="宋体" w:hAnsi="宋体" w:cs="仿宋_GB2312"/>
          <w:color w:val="000000" w:themeColor="text1"/>
          <w:kern w:val="0"/>
          <w:highlight w:val="none"/>
          <w14:textFill>
            <w14:solidFill>
              <w14:schemeClr w14:val="tx1"/>
            </w14:solidFill>
          </w14:textFill>
        </w:rPr>
        <w:t>采购人和中标人应当自中标通知书发出之日起</w:t>
      </w:r>
      <w:r>
        <w:rPr>
          <w:rFonts w:hint="eastAsia" w:ascii="宋体" w:hAnsi="宋体" w:cs="TimesNewRomanPSMT"/>
          <w:color w:val="000000" w:themeColor="text1"/>
          <w:kern w:val="0"/>
          <w:highlight w:val="none"/>
          <w14:textFill>
            <w14:solidFill>
              <w14:schemeClr w14:val="tx1"/>
            </w14:solidFill>
          </w14:textFill>
        </w:rPr>
        <w:t>30</w:t>
      </w:r>
      <w:r>
        <w:rPr>
          <w:rFonts w:hint="eastAsia" w:ascii="宋体" w:hAnsi="宋体" w:cs="仿宋_GB2312"/>
          <w:color w:val="000000" w:themeColor="text1"/>
          <w:kern w:val="0"/>
          <w:highlight w:val="none"/>
          <w14:textFill>
            <w14:solidFill>
              <w14:schemeClr w14:val="tx1"/>
            </w14:solidFill>
          </w14:textFill>
        </w:rPr>
        <w:t>天内，根据采购文件和中标人的投标文件订立书面合同。中标人无正当理由拒签合同的，采购人取消其中标资格。</w:t>
      </w:r>
    </w:p>
    <w:p>
      <w:pPr>
        <w:autoSpaceDE w:val="0"/>
        <w:autoSpaceDN w:val="0"/>
        <w:adjustRightInd w:val="0"/>
        <w:spacing w:line="360" w:lineRule="auto"/>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7.4.2 </w:t>
      </w:r>
      <w:r>
        <w:rPr>
          <w:rFonts w:hint="eastAsia" w:ascii="宋体" w:hAnsi="宋体" w:cs="仿宋_GB2312"/>
          <w:color w:val="000000" w:themeColor="text1"/>
          <w:kern w:val="0"/>
          <w:highlight w:val="none"/>
          <w14:textFill>
            <w14:solidFill>
              <w14:schemeClr w14:val="tx1"/>
            </w14:solidFill>
          </w14:textFill>
        </w:rPr>
        <w:t>发出中标通知书后，给中标人造成损失的，还应当赔偿损失。</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bookmarkStart w:id="50" w:name="_Toc12971"/>
      <w:bookmarkEnd w:id="50"/>
      <w:bookmarkStart w:id="51" w:name="_Toc239762534"/>
      <w:r>
        <w:rPr>
          <w:rFonts w:hint="eastAsia" w:ascii="宋体" w:hAnsi="宋体" w:cs="仿宋_GB2312"/>
          <w:color w:val="000000" w:themeColor="text1"/>
          <w:kern w:val="0"/>
          <w:highlight w:val="none"/>
          <w14:textFill>
            <w14:solidFill>
              <w14:schemeClr w14:val="tx1"/>
            </w14:solidFill>
          </w14:textFill>
        </w:rPr>
        <w:t xml:space="preserve">8. </w:t>
      </w:r>
      <w:bookmarkEnd w:id="51"/>
      <w:r>
        <w:rPr>
          <w:rFonts w:hint="eastAsia" w:ascii="宋体" w:hAnsi="宋体" w:cs="仿宋_GB2312"/>
          <w:color w:val="000000" w:themeColor="text1"/>
          <w:kern w:val="0"/>
          <w:highlight w:val="none"/>
          <w14:textFill>
            <w14:solidFill>
              <w14:schemeClr w14:val="tx1"/>
            </w14:solidFill>
          </w14:textFill>
        </w:rPr>
        <w:t>重新采购和改变采购方式</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8.1 重新采购</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有下列情形之一的，采购人将重新采购：</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1</w:t>
      </w:r>
      <w:r>
        <w:rPr>
          <w:rFonts w:hint="eastAsia" w:ascii="宋体" w:hAnsi="宋体" w:cs="仿宋_GB2312"/>
          <w:color w:val="000000" w:themeColor="text1"/>
          <w:kern w:val="0"/>
          <w:highlight w:val="none"/>
          <w14:textFill>
            <w14:solidFill>
              <w14:schemeClr w14:val="tx1"/>
            </w14:solidFill>
          </w14:textFill>
        </w:rPr>
        <w:t>）投标截止时间止，供应商少于</w:t>
      </w:r>
      <w:r>
        <w:rPr>
          <w:rFonts w:hint="eastAsia" w:ascii="宋体" w:hAnsi="宋体" w:cs="TimesNewRomanPSMT"/>
          <w:color w:val="000000" w:themeColor="text1"/>
          <w:kern w:val="0"/>
          <w:highlight w:val="none"/>
          <w14:textFill>
            <w14:solidFill>
              <w14:schemeClr w14:val="tx1"/>
            </w14:solidFill>
          </w14:textFill>
        </w:rPr>
        <w:t>3</w:t>
      </w:r>
      <w:r>
        <w:rPr>
          <w:rFonts w:hint="eastAsia" w:ascii="宋体" w:hAnsi="宋体" w:cs="仿宋_GB2312"/>
          <w:color w:val="000000" w:themeColor="text1"/>
          <w:kern w:val="0"/>
          <w:highlight w:val="none"/>
          <w14:textFill>
            <w14:solidFill>
              <w14:schemeClr w14:val="tx1"/>
            </w14:solidFill>
          </w14:textFill>
        </w:rPr>
        <w:t>家的；</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r>
        <w:rPr>
          <w:rFonts w:hint="eastAsia" w:ascii="宋体" w:hAnsi="宋体" w:cs="TimesNewRomanPSMT"/>
          <w:color w:val="000000" w:themeColor="text1"/>
          <w:kern w:val="0"/>
          <w:highlight w:val="none"/>
          <w14:textFill>
            <w14:solidFill>
              <w14:schemeClr w14:val="tx1"/>
            </w14:solidFill>
          </w14:textFill>
        </w:rPr>
        <w:t>2</w:t>
      </w:r>
      <w:r>
        <w:rPr>
          <w:rFonts w:hint="eastAsia" w:ascii="宋体" w:hAnsi="宋体" w:cs="仿宋_GB2312"/>
          <w:color w:val="000000" w:themeColor="text1"/>
          <w:kern w:val="0"/>
          <w:highlight w:val="none"/>
          <w14:textFill>
            <w14:solidFill>
              <w14:schemeClr w14:val="tx1"/>
            </w14:solidFill>
          </w14:textFill>
        </w:rPr>
        <w:t>）经评标委员会评审后否决所有投标的。</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8.2 改变采购方式</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重新采购后供应商仍少于</w:t>
      </w:r>
      <w:r>
        <w:rPr>
          <w:rFonts w:hint="eastAsia" w:ascii="宋体" w:hAnsi="宋体" w:cs="TimesNewRomanPSMT"/>
          <w:color w:val="000000" w:themeColor="text1"/>
          <w:kern w:val="0"/>
          <w:highlight w:val="none"/>
          <w14:textFill>
            <w14:solidFill>
              <w14:schemeClr w14:val="tx1"/>
            </w14:solidFill>
          </w14:textFill>
        </w:rPr>
        <w:t>3</w:t>
      </w:r>
      <w:r>
        <w:rPr>
          <w:rFonts w:hint="eastAsia" w:ascii="宋体" w:hAnsi="宋体" w:cs="仿宋_GB2312"/>
          <w:color w:val="000000" w:themeColor="text1"/>
          <w:kern w:val="0"/>
          <w:highlight w:val="none"/>
          <w14:textFill>
            <w14:solidFill>
              <w14:schemeClr w14:val="tx1"/>
            </w14:solidFill>
          </w14:textFill>
        </w:rPr>
        <w:t>家或者所有投标被否决的，属于必须审批或核准的采购项目，经原审批或核准部门批准后改变采购方式。</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bookmarkStart w:id="52" w:name="_Toc9832"/>
      <w:bookmarkEnd w:id="52"/>
      <w:bookmarkStart w:id="53" w:name="_Toc239762535"/>
      <w:r>
        <w:rPr>
          <w:rFonts w:hint="eastAsia" w:ascii="宋体" w:hAnsi="宋体" w:cs="仿宋_GB2312"/>
          <w:color w:val="000000" w:themeColor="text1"/>
          <w:kern w:val="0"/>
          <w:highlight w:val="none"/>
          <w14:textFill>
            <w14:solidFill>
              <w14:schemeClr w14:val="tx1"/>
            </w14:solidFill>
          </w14:textFill>
        </w:rPr>
        <w:t xml:space="preserve">9. </w:t>
      </w:r>
      <w:bookmarkEnd w:id="53"/>
      <w:r>
        <w:rPr>
          <w:rFonts w:hint="eastAsia" w:ascii="宋体" w:hAnsi="宋体" w:cs="仿宋_GB2312"/>
          <w:color w:val="000000" w:themeColor="text1"/>
          <w:kern w:val="0"/>
          <w:highlight w:val="none"/>
          <w14:textFill>
            <w14:solidFill>
              <w14:schemeClr w14:val="tx1"/>
            </w14:solidFill>
          </w14:textFill>
        </w:rPr>
        <w:t>纪律和监督</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9.1 对采购人的纪律要求</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采购人不得泄漏采购投标活动中应当保密的情况和资料，不得与供应商串通损害国家利益、社会公共利益或者他人合法权益。</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9.2 对供应商的纪律要求</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供应商不得相互串通投标或者与采购人串通投标，不得向采购人或者评标委员会成员行贿谋取中标，不得以他人名义投标或者以其他方式弄虚作假骗取中标；供应商不得以任何方式干扰、影响评标工作。</w:t>
      </w:r>
    </w:p>
    <w:p>
      <w:pPr>
        <w:autoSpaceDE w:val="0"/>
        <w:autoSpaceDN w:val="0"/>
        <w:adjustRightInd w:val="0"/>
        <w:spacing w:line="430" w:lineRule="exact"/>
        <w:jc w:val="left"/>
        <w:rPr>
          <w:rFonts w:hint="eastAsia" w:ascii="黑体" w:hAnsi="新宋体" w:eastAsia="黑体" w:cs="宋体"/>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9.3 对评标委员会成员的纪律要求</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9.4 对与评标活动有关的工作人员的纪律要求</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9.5 投诉</w:t>
      </w:r>
    </w:p>
    <w:p>
      <w:pPr>
        <w:autoSpaceDE w:val="0"/>
        <w:autoSpaceDN w:val="0"/>
        <w:adjustRightInd w:val="0"/>
        <w:spacing w:line="430" w:lineRule="exact"/>
        <w:jc w:val="left"/>
        <w:rPr>
          <w:rFonts w:hint="eastAsia"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供应商和其他利害关系人认为本次采购活动违反法律、法规和规章规定的，有权向有关行政监督部门投诉。</w:t>
      </w:r>
    </w:p>
    <w:p>
      <w:pPr>
        <w:spacing w:line="430" w:lineRule="exact"/>
        <w:rPr>
          <w:rFonts w:hint="eastAsia" w:ascii="黑体" w:hAnsi="新宋体" w:eastAsia="黑体"/>
          <w:color w:val="000000" w:themeColor="text1"/>
          <w:highlight w:val="none"/>
          <w14:textFill>
            <w14:solidFill>
              <w14:schemeClr w14:val="tx1"/>
            </w14:solidFill>
          </w14:textFill>
        </w:rPr>
      </w:pPr>
      <w:bookmarkStart w:id="54" w:name="_Toc13513"/>
      <w:bookmarkEnd w:id="54"/>
      <w:bookmarkStart w:id="55" w:name="_Toc239762536"/>
      <w:r>
        <w:rPr>
          <w:rFonts w:hint="eastAsia" w:ascii="宋体" w:hAnsi="宋体"/>
          <w:color w:val="000000" w:themeColor="text1"/>
          <w:highlight w:val="none"/>
          <w14:textFill>
            <w14:solidFill>
              <w14:schemeClr w14:val="tx1"/>
            </w14:solidFill>
          </w14:textFill>
        </w:rPr>
        <w:t xml:space="preserve">10. </w:t>
      </w:r>
      <w:bookmarkEnd w:id="55"/>
      <w:r>
        <w:rPr>
          <w:rFonts w:hint="eastAsia" w:ascii="宋体" w:hAnsi="宋体"/>
          <w:color w:val="000000" w:themeColor="text1"/>
          <w:highlight w:val="none"/>
          <w14:textFill>
            <w14:solidFill>
              <w14:schemeClr w14:val="tx1"/>
            </w14:solidFill>
          </w14:textFill>
        </w:rPr>
        <w:t>投标预备会</w:t>
      </w:r>
    </w:p>
    <w:p>
      <w:pPr>
        <w:spacing w:line="430" w:lineRule="exact"/>
        <w:rPr>
          <w:rFonts w:hint="eastAsia" w:ascii="宋体" w:hAnsi="宋体"/>
          <w:color w:val="000000" w:themeColor="text1"/>
          <w:highlight w:val="none"/>
          <w14:textFill>
            <w14:solidFill>
              <w14:schemeClr w14:val="tx1"/>
            </w14:solidFill>
          </w14:textFill>
        </w:rPr>
      </w:pPr>
      <w:bookmarkStart w:id="56" w:name="_Toc239762539"/>
      <w:bookmarkEnd w:id="56"/>
      <w:r>
        <w:rPr>
          <w:rFonts w:hint="eastAsia" w:ascii="宋体" w:hAnsi="宋体"/>
          <w:color w:val="000000" w:themeColor="text1"/>
          <w:highlight w:val="none"/>
          <w14:textFill>
            <w14:solidFill>
              <w14:schemeClr w14:val="tx1"/>
            </w14:solidFill>
          </w14:textFill>
        </w:rPr>
        <w:t xml:space="preserve">    不召开投标预备会。</w:t>
      </w:r>
    </w:p>
    <w:p>
      <w:pPr>
        <w:spacing w:line="430" w:lineRule="exact"/>
        <w:rPr>
          <w:rFonts w:hint="eastAsia" w:ascii="宋体" w:hAnsi="宋体"/>
          <w:color w:val="000000" w:themeColor="text1"/>
          <w:highlight w:val="none"/>
          <w14:textFill>
            <w14:solidFill>
              <w14:schemeClr w14:val="tx1"/>
            </w14:solidFill>
          </w14:textFill>
        </w:rPr>
      </w:pPr>
      <w:bookmarkStart w:id="57" w:name="_Toc26191"/>
      <w:bookmarkEnd w:id="57"/>
      <w:bookmarkStart w:id="58" w:name="_Toc239762538"/>
      <w:r>
        <w:rPr>
          <w:rFonts w:hint="eastAsia" w:ascii="宋体" w:hAnsi="宋体"/>
          <w:color w:val="000000" w:themeColor="text1"/>
          <w:highlight w:val="none"/>
          <w14:textFill>
            <w14:solidFill>
              <w14:schemeClr w14:val="tx1"/>
            </w14:solidFill>
          </w14:textFill>
        </w:rPr>
        <w:t>1</w:t>
      </w:r>
      <w:bookmarkEnd w:id="58"/>
      <w:r>
        <w:rPr>
          <w:rFonts w:hint="eastAsia" w:ascii="宋体" w:hAnsi="宋体"/>
          <w:color w:val="000000" w:themeColor="text1"/>
          <w:highlight w:val="none"/>
          <w14:textFill>
            <w14:solidFill>
              <w14:schemeClr w14:val="tx1"/>
            </w14:solidFill>
          </w14:textFill>
        </w:rPr>
        <w:t xml:space="preserve">1. </w:t>
      </w:r>
      <w:bookmarkStart w:id="59" w:name="_Toc239762540"/>
      <w:bookmarkEnd w:id="59"/>
      <w:bookmarkStart w:id="60" w:name="_Toc12144"/>
      <w:bookmarkEnd w:id="60"/>
      <w:r>
        <w:rPr>
          <w:rFonts w:hint="eastAsia" w:ascii="宋体" w:hAnsi="宋体"/>
          <w:color w:val="000000" w:themeColor="text1"/>
          <w:highlight w:val="none"/>
          <w14:textFill>
            <w14:solidFill>
              <w14:schemeClr w14:val="tx1"/>
            </w14:solidFill>
          </w14:textFill>
        </w:rPr>
        <w:t>需要补充的其他内容</w:t>
      </w:r>
    </w:p>
    <w:p>
      <w:pPr>
        <w:pStyle w:val="2"/>
        <w:spacing w:line="430" w:lineRule="exact"/>
        <w:jc w:val="both"/>
        <w:rPr>
          <w:rFonts w:hint="eastAsia" w:hAnsi="宋体" w:cs="Times New Roman"/>
          <w:color w:val="000000" w:themeColor="text1"/>
          <w:kern w:val="2"/>
          <w:sz w:val="21"/>
          <w:szCs w:val="21"/>
          <w:highlight w:val="none"/>
          <w14:textFill>
            <w14:solidFill>
              <w14:schemeClr w14:val="tx1"/>
            </w14:solidFill>
          </w14:textFill>
        </w:rPr>
      </w:pPr>
      <w:r>
        <w:rPr>
          <w:rFonts w:hint="eastAsia" w:hAnsi="宋体" w:cs="Times New Roman"/>
          <w:color w:val="000000" w:themeColor="text1"/>
          <w:kern w:val="2"/>
          <w:sz w:val="21"/>
          <w:szCs w:val="21"/>
          <w:highlight w:val="none"/>
          <w14:textFill>
            <w14:solidFill>
              <w14:schemeClr w14:val="tx1"/>
            </w14:solidFill>
          </w14:textFill>
        </w:rPr>
        <w:t xml:space="preserve">    见供应商须知前附表.</w:t>
      </w:r>
    </w:p>
    <w:p>
      <w:pPr>
        <w:widowControl/>
        <w:jc w:val="left"/>
        <w:rPr>
          <w:rFonts w:ascii="宋体"/>
          <w:b/>
          <w:bCs/>
          <w:color w:val="000000" w:themeColor="text1"/>
          <w:sz w:val="36"/>
          <w:szCs w:val="36"/>
          <w:highlight w:val="none"/>
          <w14:textFill>
            <w14:solidFill>
              <w14:schemeClr w14:val="tx1"/>
            </w14:solidFill>
          </w14:textFill>
        </w:rPr>
        <w:sectPr>
          <w:pgSz w:w="11906" w:h="16838"/>
          <w:pgMar w:top="1417" w:right="1417" w:bottom="1417" w:left="1417" w:header="720" w:footer="720" w:gutter="0"/>
          <w:cols w:space="720" w:num="1"/>
          <w:docGrid w:type="lines" w:linePitch="312" w:charSpace="0"/>
        </w:sectPr>
      </w:pPr>
    </w:p>
    <w:p>
      <w:pPr>
        <w:autoSpaceDE w:val="0"/>
        <w:autoSpaceDN w:val="0"/>
        <w:spacing w:line="360" w:lineRule="auto"/>
        <w:jc w:val="center"/>
        <w:outlineLvl w:val="0"/>
        <w:rPr>
          <w:rFonts w:hint="eastAsia" w:ascii="宋体"/>
          <w:b/>
          <w:bCs/>
          <w:color w:val="000000" w:themeColor="text1"/>
          <w:sz w:val="36"/>
          <w:szCs w:val="36"/>
          <w:highlight w:val="none"/>
          <w14:textFill>
            <w14:solidFill>
              <w14:schemeClr w14:val="tx1"/>
            </w14:solidFill>
          </w14:textFill>
        </w:rPr>
      </w:pPr>
      <w:bookmarkStart w:id="61" w:name="_Toc12912"/>
      <w:bookmarkEnd w:id="61"/>
      <w:bookmarkStart w:id="62" w:name="_Toc5575"/>
      <w:bookmarkEnd w:id="62"/>
      <w:bookmarkStart w:id="63" w:name="_Toc12361"/>
      <w:bookmarkEnd w:id="63"/>
      <w:bookmarkStart w:id="64" w:name="_Toc238352249"/>
      <w:r>
        <w:rPr>
          <w:rFonts w:hint="eastAsia" w:ascii="宋体" w:hAnsi="宋体"/>
          <w:b/>
          <w:bCs/>
          <w:color w:val="000000" w:themeColor="text1"/>
          <w:sz w:val="36"/>
          <w:szCs w:val="36"/>
          <w:highlight w:val="none"/>
          <w14:textFill>
            <w14:solidFill>
              <w14:schemeClr w14:val="tx1"/>
            </w14:solidFill>
          </w14:textFill>
        </w:rPr>
        <w:t>第三章</w:t>
      </w:r>
      <w:bookmarkEnd w:id="64"/>
      <w:bookmarkStart w:id="65" w:name="_Toc8160"/>
      <w:r>
        <w:rPr>
          <w:rFonts w:hint="eastAsia" w:ascii="宋体" w:hAnsi="宋体"/>
          <w:b/>
          <w:bCs/>
          <w:color w:val="000000" w:themeColor="text1"/>
          <w:sz w:val="36"/>
          <w:szCs w:val="36"/>
          <w:highlight w:val="none"/>
          <w14:textFill>
            <w14:solidFill>
              <w14:schemeClr w14:val="tx1"/>
            </w14:solidFill>
          </w14:textFill>
        </w:rPr>
        <w:t>评标办法</w:t>
      </w:r>
      <w:bookmarkEnd w:id="65"/>
    </w:p>
    <w:p>
      <w:pPr>
        <w:adjustRightInd w:val="0"/>
        <w:snapToGrid w:val="0"/>
        <w:spacing w:line="360" w:lineRule="auto"/>
        <w:ind w:firstLine="422" w:firstLineChars="200"/>
        <w:rPr>
          <w:rFonts w:hint="eastAsia" w:ascii="宋体" w:hAnsi="宋体"/>
          <w:b/>
          <w:bCs/>
          <w:color w:val="000000" w:themeColor="text1"/>
          <w:kern w:val="0"/>
          <w:szCs w:val="21"/>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 xml:space="preserve"> </w:t>
      </w:r>
    </w:p>
    <w:p>
      <w:pPr>
        <w:adjustRightInd w:val="0"/>
        <w:snapToGrid w:val="0"/>
        <w:spacing w:line="360" w:lineRule="auto"/>
        <w:ind w:firstLine="422" w:firstLineChars="200"/>
        <w:rPr>
          <w:rFonts w:hint="eastAsia"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核心产品的确定及同一品牌的认定</w:t>
      </w:r>
    </w:p>
    <w:p>
      <w:pPr>
        <w:adjustRightInd w:val="0"/>
        <w:snapToGrid w:val="0"/>
        <w:spacing w:line="360" w:lineRule="auto"/>
        <w:ind w:firstLine="422" w:firstLineChars="200"/>
        <w:rPr>
          <w:rFonts w:hint="eastAsia"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依据项目占比及技术复杂性，</w:t>
      </w:r>
      <w:r>
        <w:rPr>
          <w:rFonts w:hint="eastAsia" w:ascii="宋体" w:hAnsi="宋体"/>
          <w:b/>
          <w:bCs/>
          <w:color w:val="000000" w:themeColor="text1"/>
          <w:kern w:val="0"/>
          <w:highlight w:val="none"/>
          <w14:textFill>
            <w14:solidFill>
              <w14:schemeClr w14:val="tx1"/>
            </w14:solidFill>
          </w14:textFill>
        </w:rPr>
        <w:t>本次项目核心产品为LED显示屏。</w:t>
      </w:r>
    </w:p>
    <w:p>
      <w:pPr>
        <w:pStyle w:val="2"/>
        <w:spacing w:line="360" w:lineRule="auto"/>
        <w:ind w:firstLine="422" w:firstLineChars="200"/>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依据中华人民共和国财政部令第87号令《政府采购货物和服务采购投标管理办法》第三十一条要求。不同供应商所投核心产品对应品牌完全相同且通过形式评审标准、资格评审标准、响应性评审标准的，将按照一家供应商计算。详细评审后得分最高的同品牌供应商获得中标人推荐资格；评审得分相同的，按照除价格分外得分最高（技术+商务+售后服务）的同品牌供应商获得中标人推荐资格，其他同品牌供应商不作为中标候选人。</w:t>
      </w:r>
    </w:p>
    <w:p>
      <w:pPr>
        <w:pStyle w:val="2"/>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一、</w:t>
      </w:r>
      <w:r>
        <w:rPr>
          <w:rFonts w:hint="eastAsia" w:ascii="黑体" w:hAnsi="黑体" w:eastAsia="黑体"/>
          <w:b/>
          <w:bCs/>
          <w:color w:val="000000" w:themeColor="text1"/>
          <w:sz w:val="28"/>
          <w:szCs w:val="28"/>
          <w:highlight w:val="none"/>
          <w14:textFill>
            <w14:solidFill>
              <w14:schemeClr w14:val="tx1"/>
            </w14:solidFill>
          </w14:textFill>
        </w:rPr>
        <w:t>初步评审</w:t>
      </w:r>
    </w:p>
    <w:tbl>
      <w:tblPr>
        <w:tblStyle w:val="13"/>
        <w:tblW w:w="10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9"/>
        <w:gridCol w:w="993"/>
        <w:gridCol w:w="2177"/>
        <w:gridCol w:w="6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0" w:type="dxa"/>
            <w:gridSpan w:val="2"/>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hAnsi="宋体" w:cs="Times New Roman"/>
                <w:b/>
                <w:bCs/>
                <w:color w:val="000000" w:themeColor="text1"/>
                <w:sz w:val="21"/>
                <w:szCs w:val="21"/>
                <w:highlight w:val="none"/>
                <w14:textFill>
                  <w14:solidFill>
                    <w14:schemeClr w14:val="tx1"/>
                  </w14:solidFill>
                </w14:textFill>
              </w:rPr>
            </w:pPr>
            <w:r>
              <w:rPr>
                <w:rFonts w:hint="eastAsia" w:hAnsi="宋体" w:cs="Times New Roman"/>
                <w:b/>
                <w:bCs/>
                <w:color w:val="000000" w:themeColor="text1"/>
                <w:sz w:val="21"/>
                <w:szCs w:val="21"/>
                <w:highlight w:val="none"/>
                <w14:textFill>
                  <w14:solidFill>
                    <w14:schemeClr w14:val="tx1"/>
                  </w14:solidFill>
                </w14:textFill>
              </w:rPr>
              <w:t>条款号</w:t>
            </w:r>
          </w:p>
        </w:tc>
        <w:tc>
          <w:tcPr>
            <w:tcW w:w="3170" w:type="dxa"/>
            <w:gridSpan w:val="2"/>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b/>
                <w:bCs/>
                <w:color w:val="000000" w:themeColor="text1"/>
                <w:sz w:val="21"/>
                <w:szCs w:val="21"/>
                <w:highlight w:val="none"/>
                <w14:textFill>
                  <w14:solidFill>
                    <w14:schemeClr w14:val="tx1"/>
                  </w14:solidFill>
                </w14:textFill>
              </w:rPr>
            </w:pPr>
            <w:r>
              <w:rPr>
                <w:rFonts w:hint="eastAsia" w:hAnsi="宋体" w:cs="Times New Roman"/>
                <w:b/>
                <w:bCs/>
                <w:color w:val="000000" w:themeColor="text1"/>
                <w:sz w:val="21"/>
                <w:szCs w:val="21"/>
                <w:highlight w:val="none"/>
                <w14:textFill>
                  <w14:solidFill>
                    <w14:schemeClr w14:val="tx1"/>
                  </w14:solidFill>
                </w14:textFill>
              </w:rPr>
              <w:t>评审因素</w:t>
            </w:r>
          </w:p>
        </w:tc>
        <w:tc>
          <w:tcPr>
            <w:tcW w:w="6174"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b/>
                <w:bCs/>
                <w:color w:val="000000" w:themeColor="text1"/>
                <w:sz w:val="21"/>
                <w:szCs w:val="21"/>
                <w:highlight w:val="none"/>
                <w14:textFill>
                  <w14:solidFill>
                    <w14:schemeClr w14:val="tx1"/>
                  </w14:solidFill>
                </w14:textFill>
              </w:rPr>
            </w:pPr>
            <w:r>
              <w:rPr>
                <w:rFonts w:hint="eastAsia" w:hAnsi="宋体" w:cs="Times New Roman"/>
                <w:b/>
                <w:bCs/>
                <w:color w:val="000000" w:themeColor="text1"/>
                <w:sz w:val="21"/>
                <w:szCs w:val="21"/>
                <w:highlight w:val="none"/>
                <w14:textFill>
                  <w14:solidFill>
                    <w14:schemeClr w14:val="tx1"/>
                  </w14:solidFill>
                </w14:textFill>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821" w:type="dxa"/>
            <w:vMerge w:val="restart"/>
            <w:tcBorders>
              <w:top w:val="nil"/>
              <w:left w:val="single" w:color="auto" w:sz="4" w:space="0"/>
              <w:bottom w:val="single" w:color="auto" w:sz="4" w:space="0"/>
              <w:right w:val="single" w:color="auto" w:sz="4" w:space="0"/>
            </w:tcBorders>
            <w:vAlign w:val="center"/>
          </w:tcPr>
          <w:p>
            <w:pPr>
              <w:pStyle w:val="2"/>
              <w:spacing w:line="360" w:lineRule="auto"/>
              <w:jc w:val="center"/>
              <w:rPr>
                <w:rFonts w:hAnsi="宋体" w:cs="黑体"/>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2.1.1</w:t>
            </w:r>
          </w:p>
        </w:tc>
        <w:tc>
          <w:tcPr>
            <w:tcW w:w="1012" w:type="dxa"/>
            <w:gridSpan w:val="2"/>
            <w:vMerge w:val="restart"/>
            <w:tcBorders>
              <w:top w:val="nil"/>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形</w:t>
            </w:r>
          </w:p>
          <w:p>
            <w:pPr>
              <w:pStyle w:val="2"/>
              <w:spacing w:line="360" w:lineRule="auto"/>
              <w:jc w:val="center"/>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式</w:t>
            </w:r>
          </w:p>
          <w:p>
            <w:pPr>
              <w:pStyle w:val="2"/>
              <w:spacing w:line="360" w:lineRule="auto"/>
              <w:jc w:val="center"/>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评</w:t>
            </w:r>
          </w:p>
          <w:p>
            <w:pPr>
              <w:pStyle w:val="2"/>
              <w:spacing w:line="360" w:lineRule="auto"/>
              <w:jc w:val="center"/>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审</w:t>
            </w:r>
          </w:p>
          <w:p>
            <w:pPr>
              <w:pStyle w:val="2"/>
              <w:spacing w:line="360" w:lineRule="auto"/>
              <w:jc w:val="center"/>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标</w:t>
            </w:r>
          </w:p>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准</w:t>
            </w: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供应商名称</w:t>
            </w:r>
          </w:p>
        </w:tc>
        <w:tc>
          <w:tcPr>
            <w:tcW w:w="6174" w:type="dxa"/>
            <w:tcBorders>
              <w:top w:val="single" w:color="auto" w:sz="4" w:space="0"/>
              <w:left w:val="nil"/>
              <w:bottom w:val="single" w:color="auto" w:sz="4" w:space="0"/>
              <w:right w:val="single" w:color="auto" w:sz="4" w:space="0"/>
            </w:tcBorders>
            <w:vAlign w:val="center"/>
          </w:tcPr>
          <w:p>
            <w:pPr>
              <w:pStyle w:val="2"/>
              <w:spacing w:line="360" w:lineRule="auto"/>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与营业执照、税务登记证、组织机构代码证（或三证合一的营业执照）一致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黑体"/>
                <w:color w:val="000000" w:themeColor="text1"/>
                <w:kern w:val="0"/>
                <w:szCs w:val="21"/>
                <w:highlight w:val="none"/>
                <w14:textFill>
                  <w14:solidFill>
                    <w14:schemeClr w14:val="tx1"/>
                  </w14:solidFill>
                </w14:textFill>
              </w:rPr>
            </w:pPr>
          </w:p>
        </w:tc>
        <w:tc>
          <w:tcPr>
            <w:tcW w:w="12533"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投标文件签字、盖章</w:t>
            </w:r>
          </w:p>
        </w:tc>
        <w:tc>
          <w:tcPr>
            <w:tcW w:w="6174" w:type="dxa"/>
            <w:tcBorders>
              <w:top w:val="single" w:color="auto" w:sz="4" w:space="0"/>
              <w:left w:val="nil"/>
              <w:bottom w:val="single" w:color="auto" w:sz="4" w:space="0"/>
              <w:right w:val="single" w:color="auto" w:sz="4" w:space="0"/>
            </w:tcBorders>
            <w:vAlign w:val="center"/>
          </w:tcPr>
          <w:p>
            <w:pPr>
              <w:pStyle w:val="2"/>
              <w:spacing w:line="360" w:lineRule="auto"/>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按招标文件规定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黑体"/>
                <w:color w:val="000000" w:themeColor="text1"/>
                <w:kern w:val="0"/>
                <w:szCs w:val="21"/>
                <w:highlight w:val="none"/>
                <w14:textFill>
                  <w14:solidFill>
                    <w14:schemeClr w14:val="tx1"/>
                  </w14:solidFill>
                </w14:textFill>
              </w:rPr>
            </w:pPr>
          </w:p>
        </w:tc>
        <w:tc>
          <w:tcPr>
            <w:tcW w:w="12533"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投标文件格式</w:t>
            </w:r>
          </w:p>
        </w:tc>
        <w:tc>
          <w:tcPr>
            <w:tcW w:w="6174" w:type="dxa"/>
            <w:tcBorders>
              <w:top w:val="single" w:color="auto" w:sz="4" w:space="0"/>
              <w:left w:val="nil"/>
              <w:bottom w:val="single" w:color="auto" w:sz="4" w:space="0"/>
              <w:right w:val="single" w:color="auto" w:sz="4" w:space="0"/>
            </w:tcBorders>
            <w:vAlign w:val="center"/>
          </w:tcPr>
          <w:p>
            <w:pPr>
              <w:pStyle w:val="2"/>
              <w:spacing w:line="360" w:lineRule="auto"/>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符合采购文件要求的格式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黑体"/>
                <w:color w:val="000000" w:themeColor="text1"/>
                <w:kern w:val="0"/>
                <w:szCs w:val="21"/>
                <w:highlight w:val="none"/>
                <w14:textFill>
                  <w14:solidFill>
                    <w14:schemeClr w14:val="tx1"/>
                  </w14:solidFill>
                </w14:textFill>
              </w:rPr>
            </w:pPr>
          </w:p>
        </w:tc>
        <w:tc>
          <w:tcPr>
            <w:tcW w:w="12533"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报价唯一</w:t>
            </w:r>
          </w:p>
        </w:tc>
        <w:tc>
          <w:tcPr>
            <w:tcW w:w="6174" w:type="dxa"/>
            <w:tcBorders>
              <w:top w:val="single" w:color="auto" w:sz="4" w:space="0"/>
              <w:left w:val="nil"/>
              <w:bottom w:val="single" w:color="auto" w:sz="4" w:space="0"/>
              <w:right w:val="single" w:color="auto" w:sz="4" w:space="0"/>
            </w:tcBorders>
            <w:vAlign w:val="center"/>
          </w:tcPr>
          <w:p>
            <w:pPr>
              <w:pStyle w:val="2"/>
              <w:spacing w:line="360" w:lineRule="auto"/>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821" w:type="dxa"/>
            <w:vMerge w:val="restart"/>
            <w:tcBorders>
              <w:top w:val="nil"/>
              <w:left w:val="single" w:color="auto" w:sz="4" w:space="0"/>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p>
          <w:p>
            <w:pPr>
              <w:pStyle w:val="2"/>
              <w:spacing w:line="360" w:lineRule="auto"/>
              <w:jc w:val="center"/>
              <w:rPr>
                <w:rFonts w:hAnsi="宋体" w:cs="黑体"/>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2.1.2</w:t>
            </w:r>
          </w:p>
        </w:tc>
        <w:tc>
          <w:tcPr>
            <w:tcW w:w="1012" w:type="dxa"/>
            <w:gridSpan w:val="2"/>
            <w:vMerge w:val="restart"/>
            <w:tcBorders>
              <w:top w:val="nil"/>
              <w:left w:val="nil"/>
              <w:bottom w:val="single" w:color="auto" w:sz="4" w:space="0"/>
              <w:right w:val="single" w:color="auto" w:sz="4" w:space="0"/>
            </w:tcBorders>
            <w:vAlign w:val="center"/>
          </w:tcPr>
          <w:p>
            <w:pPr>
              <w:pStyle w:val="2"/>
              <w:spacing w:line="360" w:lineRule="auto"/>
              <w:ind w:firstLine="255" w:firstLineChars="150"/>
              <w:rPr>
                <w:rFonts w:hAnsi="宋体" w:cs="Times New Roman"/>
                <w:color w:val="000000" w:themeColor="text1"/>
                <w:spacing w:val="-20"/>
                <w:sz w:val="21"/>
                <w:szCs w:val="21"/>
                <w:highlight w:val="none"/>
                <w14:textFill>
                  <w14:solidFill>
                    <w14:schemeClr w14:val="tx1"/>
                  </w14:solidFill>
                </w14:textFill>
              </w:rPr>
            </w:pPr>
            <w:r>
              <w:rPr>
                <w:rFonts w:hint="eastAsia" w:hAnsi="宋体" w:cs="Times New Roman"/>
                <w:color w:val="000000" w:themeColor="text1"/>
                <w:spacing w:val="-20"/>
                <w:sz w:val="21"/>
                <w:szCs w:val="21"/>
                <w:highlight w:val="none"/>
                <w14:textFill>
                  <w14:solidFill>
                    <w14:schemeClr w14:val="tx1"/>
                  </w14:solidFill>
                </w14:textFill>
              </w:rPr>
              <w:t>资</w:t>
            </w:r>
          </w:p>
          <w:p>
            <w:pPr>
              <w:pStyle w:val="2"/>
              <w:spacing w:line="360" w:lineRule="auto"/>
              <w:jc w:val="center"/>
              <w:rPr>
                <w:rFonts w:hint="eastAsia" w:hAnsi="宋体" w:cs="Times New Roman"/>
                <w:color w:val="000000" w:themeColor="text1"/>
                <w:spacing w:val="-20"/>
                <w:sz w:val="21"/>
                <w:szCs w:val="21"/>
                <w:highlight w:val="none"/>
                <w14:textFill>
                  <w14:solidFill>
                    <w14:schemeClr w14:val="tx1"/>
                  </w14:solidFill>
                </w14:textFill>
              </w:rPr>
            </w:pPr>
            <w:r>
              <w:rPr>
                <w:rFonts w:hint="eastAsia" w:hAnsi="宋体" w:cs="Times New Roman"/>
                <w:color w:val="000000" w:themeColor="text1"/>
                <w:spacing w:val="-20"/>
                <w:sz w:val="21"/>
                <w:szCs w:val="21"/>
                <w:highlight w:val="none"/>
                <w14:textFill>
                  <w14:solidFill>
                    <w14:schemeClr w14:val="tx1"/>
                  </w14:solidFill>
                </w14:textFill>
              </w:rPr>
              <w:t>格</w:t>
            </w:r>
          </w:p>
          <w:p>
            <w:pPr>
              <w:pStyle w:val="2"/>
              <w:spacing w:line="360" w:lineRule="auto"/>
              <w:jc w:val="center"/>
              <w:rPr>
                <w:rFonts w:hint="eastAsia" w:hAnsi="宋体" w:cs="Times New Roman"/>
                <w:color w:val="000000" w:themeColor="text1"/>
                <w:spacing w:val="-20"/>
                <w:sz w:val="21"/>
                <w:szCs w:val="21"/>
                <w:highlight w:val="none"/>
                <w14:textFill>
                  <w14:solidFill>
                    <w14:schemeClr w14:val="tx1"/>
                  </w14:solidFill>
                </w14:textFill>
              </w:rPr>
            </w:pPr>
            <w:r>
              <w:rPr>
                <w:rFonts w:hint="eastAsia" w:hAnsi="宋体" w:cs="Times New Roman"/>
                <w:color w:val="000000" w:themeColor="text1"/>
                <w:spacing w:val="-20"/>
                <w:sz w:val="21"/>
                <w:szCs w:val="21"/>
                <w:highlight w:val="none"/>
                <w14:textFill>
                  <w14:solidFill>
                    <w14:schemeClr w14:val="tx1"/>
                  </w14:solidFill>
                </w14:textFill>
              </w:rPr>
              <w:t>评</w:t>
            </w:r>
          </w:p>
          <w:p>
            <w:pPr>
              <w:pStyle w:val="2"/>
              <w:spacing w:line="360" w:lineRule="auto"/>
              <w:jc w:val="center"/>
              <w:rPr>
                <w:rFonts w:hint="eastAsia" w:hAnsi="宋体" w:cs="Times New Roman"/>
                <w:color w:val="000000" w:themeColor="text1"/>
                <w:spacing w:val="-20"/>
                <w:sz w:val="21"/>
                <w:szCs w:val="21"/>
                <w:highlight w:val="none"/>
                <w14:textFill>
                  <w14:solidFill>
                    <w14:schemeClr w14:val="tx1"/>
                  </w14:solidFill>
                </w14:textFill>
              </w:rPr>
            </w:pPr>
            <w:r>
              <w:rPr>
                <w:rFonts w:hint="eastAsia" w:hAnsi="宋体" w:cs="Times New Roman"/>
                <w:color w:val="000000" w:themeColor="text1"/>
                <w:spacing w:val="-20"/>
                <w:sz w:val="21"/>
                <w:szCs w:val="21"/>
                <w:highlight w:val="none"/>
                <w14:textFill>
                  <w14:solidFill>
                    <w14:schemeClr w14:val="tx1"/>
                  </w14:solidFill>
                </w14:textFill>
              </w:rPr>
              <w:t>审</w:t>
            </w:r>
          </w:p>
          <w:p>
            <w:pPr>
              <w:pStyle w:val="2"/>
              <w:spacing w:line="360" w:lineRule="auto"/>
              <w:jc w:val="center"/>
              <w:rPr>
                <w:rFonts w:hint="eastAsia" w:hAnsi="宋体" w:cs="Times New Roman"/>
                <w:color w:val="000000" w:themeColor="text1"/>
                <w:spacing w:val="-20"/>
                <w:sz w:val="21"/>
                <w:szCs w:val="21"/>
                <w:highlight w:val="none"/>
                <w14:textFill>
                  <w14:solidFill>
                    <w14:schemeClr w14:val="tx1"/>
                  </w14:solidFill>
                </w14:textFill>
              </w:rPr>
            </w:pPr>
            <w:r>
              <w:rPr>
                <w:rFonts w:hint="eastAsia" w:hAnsi="宋体" w:cs="Times New Roman"/>
                <w:color w:val="000000" w:themeColor="text1"/>
                <w:spacing w:val="-20"/>
                <w:sz w:val="21"/>
                <w:szCs w:val="21"/>
                <w:highlight w:val="none"/>
                <w14:textFill>
                  <w14:solidFill>
                    <w14:schemeClr w14:val="tx1"/>
                  </w14:solidFill>
                </w14:textFill>
              </w:rPr>
              <w:t>标</w:t>
            </w:r>
          </w:p>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pacing w:val="-20"/>
                <w:sz w:val="21"/>
                <w:szCs w:val="21"/>
                <w:highlight w:val="none"/>
                <w14:textFill>
                  <w14:solidFill>
                    <w14:schemeClr w14:val="tx1"/>
                  </w14:solidFill>
                </w14:textFill>
              </w:rPr>
              <w:t>准</w:t>
            </w:r>
          </w:p>
        </w:tc>
        <w:tc>
          <w:tcPr>
            <w:tcW w:w="2177" w:type="dxa"/>
            <w:tcBorders>
              <w:top w:val="single" w:color="auto" w:sz="4" w:space="0"/>
              <w:left w:val="nil"/>
              <w:bottom w:val="single" w:color="auto" w:sz="4" w:space="0"/>
              <w:right w:val="single" w:color="auto" w:sz="4" w:space="0"/>
            </w:tcBorders>
            <w:vAlign w:val="center"/>
          </w:tcPr>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营业执照</w:t>
            </w:r>
          </w:p>
        </w:tc>
        <w:tc>
          <w:tcPr>
            <w:tcW w:w="6174" w:type="dxa"/>
            <w:tcBorders>
              <w:top w:val="single" w:color="auto" w:sz="4" w:space="0"/>
              <w:left w:val="nil"/>
              <w:bottom w:val="single" w:color="auto" w:sz="4" w:space="0"/>
              <w:right w:val="single" w:color="auto" w:sz="4" w:space="0"/>
            </w:tcBorders>
            <w:vAlign w:val="center"/>
          </w:tcPr>
          <w:p>
            <w:pPr>
              <w:spacing w:line="360" w:lineRule="auto"/>
              <w:rPr>
                <w:rFonts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具备有效的营业执照（或三证合一的营业执照）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黑体"/>
                <w:color w:val="000000" w:themeColor="text1"/>
                <w:kern w:val="0"/>
                <w:szCs w:val="21"/>
                <w:highlight w:val="none"/>
                <w14:textFill>
                  <w14:solidFill>
                    <w14:schemeClr w14:val="tx1"/>
                  </w14:solidFill>
                </w14:textFill>
              </w:rPr>
            </w:pPr>
          </w:p>
        </w:tc>
        <w:tc>
          <w:tcPr>
            <w:tcW w:w="12533"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税务登记证</w:t>
            </w:r>
          </w:p>
        </w:tc>
        <w:tc>
          <w:tcPr>
            <w:tcW w:w="6174"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具备有效的税务登记证（或三证合一的营业执照）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黑体"/>
                <w:color w:val="000000" w:themeColor="text1"/>
                <w:kern w:val="0"/>
                <w:szCs w:val="21"/>
                <w:highlight w:val="none"/>
                <w14:textFill>
                  <w14:solidFill>
                    <w14:schemeClr w14:val="tx1"/>
                  </w14:solidFill>
                </w14:textFill>
              </w:rPr>
            </w:pPr>
          </w:p>
        </w:tc>
        <w:tc>
          <w:tcPr>
            <w:tcW w:w="12533"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组织机构代码证</w:t>
            </w:r>
          </w:p>
        </w:tc>
        <w:tc>
          <w:tcPr>
            <w:tcW w:w="6174" w:type="dxa"/>
            <w:tcBorders>
              <w:top w:val="single" w:color="auto" w:sz="4" w:space="0"/>
              <w:left w:val="nil"/>
              <w:bottom w:val="single" w:color="auto" w:sz="4" w:space="0"/>
              <w:right w:val="single" w:color="auto" w:sz="4" w:space="0"/>
            </w:tcBorders>
            <w:vAlign w:val="center"/>
          </w:tcPr>
          <w:p>
            <w:pPr>
              <w:shd w:val="clear" w:color="auto" w:fill="FFFFFF"/>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具备有效的组织机构代码证（或三证合一的营业执照）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黑体"/>
                <w:color w:val="000000" w:themeColor="text1"/>
                <w:kern w:val="0"/>
                <w:szCs w:val="21"/>
                <w:highlight w:val="none"/>
                <w14:textFill>
                  <w14:solidFill>
                    <w14:schemeClr w14:val="tx1"/>
                  </w14:solidFill>
                </w14:textFill>
              </w:rPr>
            </w:pPr>
          </w:p>
        </w:tc>
        <w:tc>
          <w:tcPr>
            <w:tcW w:w="12533"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 xml:space="preserve">资质 </w:t>
            </w:r>
          </w:p>
        </w:tc>
        <w:tc>
          <w:tcPr>
            <w:tcW w:w="6174" w:type="dxa"/>
            <w:tcBorders>
              <w:top w:val="single" w:color="auto" w:sz="4" w:space="0"/>
              <w:left w:val="nil"/>
              <w:bottom w:val="single" w:color="auto" w:sz="4" w:space="0"/>
              <w:right w:val="single" w:color="auto" w:sz="4" w:space="0"/>
            </w:tcBorders>
            <w:vAlign w:val="center"/>
          </w:tcPr>
          <w:p>
            <w:pPr>
              <w:shd w:val="clear" w:color="auto" w:fill="FFFFFF"/>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投标人必须具有电子与智能化工程专业承包贰级及以上资质或具有建筑智能化工程设计与施工贰级及以上资质；具有有效的安全生产许可证。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黑体"/>
                <w:color w:val="000000" w:themeColor="text1"/>
                <w:kern w:val="0"/>
                <w:szCs w:val="21"/>
                <w:highlight w:val="none"/>
                <w14:textFill>
                  <w14:solidFill>
                    <w14:schemeClr w14:val="tx1"/>
                  </w14:solidFill>
                </w14:textFill>
              </w:rPr>
            </w:pPr>
          </w:p>
        </w:tc>
        <w:tc>
          <w:tcPr>
            <w:tcW w:w="12533"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项目经理</w:t>
            </w:r>
          </w:p>
        </w:tc>
        <w:tc>
          <w:tcPr>
            <w:tcW w:w="6174" w:type="dxa"/>
            <w:tcBorders>
              <w:top w:val="single" w:color="auto" w:sz="4" w:space="0"/>
              <w:left w:val="nil"/>
              <w:bottom w:val="single" w:color="auto" w:sz="4" w:space="0"/>
              <w:right w:val="single" w:color="auto" w:sz="4" w:space="0"/>
            </w:tcBorders>
            <w:vAlign w:val="center"/>
          </w:tcPr>
          <w:p>
            <w:pPr>
              <w:shd w:val="clear" w:color="auto" w:fill="FFFFFF"/>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拟派项目经理具有机电工程（或通信与广电工程）专业贰级及以上注册建造师执业资格证书；具有有效的安全生产考核合格证，且无在建工程。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21" w:type="dxa"/>
            <w:vMerge w:val="restart"/>
            <w:tcBorders>
              <w:top w:val="nil"/>
              <w:left w:val="single" w:color="auto" w:sz="4" w:space="0"/>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2.1.3</w:t>
            </w:r>
          </w:p>
        </w:tc>
        <w:tc>
          <w:tcPr>
            <w:tcW w:w="1012" w:type="dxa"/>
            <w:gridSpan w:val="2"/>
            <w:vMerge w:val="restart"/>
            <w:tcBorders>
              <w:top w:val="single" w:color="auto" w:sz="4" w:space="0"/>
              <w:left w:val="nil"/>
              <w:bottom w:val="single" w:color="auto" w:sz="4" w:space="0"/>
              <w:right w:val="single" w:color="auto" w:sz="4" w:space="0"/>
            </w:tcBorders>
            <w:vAlign w:val="center"/>
          </w:tcPr>
          <w:p>
            <w:pPr>
              <w:pStyle w:val="2"/>
              <w:spacing w:line="360" w:lineRule="auto"/>
              <w:ind w:firstLine="210" w:firstLineChars="100"/>
              <w:jc w:val="both"/>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响</w:t>
            </w:r>
          </w:p>
          <w:p>
            <w:pPr>
              <w:pStyle w:val="2"/>
              <w:spacing w:line="360" w:lineRule="auto"/>
              <w:ind w:firstLine="210" w:firstLineChars="100"/>
              <w:jc w:val="both"/>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应</w:t>
            </w:r>
          </w:p>
          <w:p>
            <w:pPr>
              <w:pStyle w:val="2"/>
              <w:spacing w:line="360" w:lineRule="auto"/>
              <w:ind w:firstLine="210" w:firstLineChars="100"/>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性</w:t>
            </w:r>
          </w:p>
          <w:p>
            <w:pPr>
              <w:pStyle w:val="2"/>
              <w:spacing w:line="360" w:lineRule="auto"/>
              <w:ind w:firstLine="210" w:firstLineChars="100"/>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评</w:t>
            </w:r>
          </w:p>
          <w:p>
            <w:pPr>
              <w:pStyle w:val="2"/>
              <w:spacing w:line="360" w:lineRule="auto"/>
              <w:ind w:firstLine="210" w:firstLineChars="100"/>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审</w:t>
            </w:r>
          </w:p>
          <w:p>
            <w:pPr>
              <w:pStyle w:val="2"/>
              <w:spacing w:line="360" w:lineRule="auto"/>
              <w:ind w:firstLine="210" w:firstLineChars="100"/>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标</w:t>
            </w:r>
          </w:p>
          <w:p>
            <w:pPr>
              <w:pStyle w:val="2"/>
              <w:spacing w:line="360" w:lineRule="auto"/>
              <w:ind w:firstLine="210" w:firstLineChars="100"/>
              <w:rPr>
                <w:rFonts w:hint="eastAsia"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准</w:t>
            </w:r>
          </w:p>
          <w:p>
            <w:pPr>
              <w:pStyle w:val="2"/>
              <w:spacing w:line="360" w:lineRule="auto"/>
              <w:jc w:val="center"/>
              <w:rPr>
                <w:rFonts w:hAnsi="宋体" w:cs="Times New Roman"/>
                <w:color w:val="000000" w:themeColor="text1"/>
                <w:sz w:val="21"/>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采购内容</w:t>
            </w:r>
          </w:p>
        </w:tc>
        <w:tc>
          <w:tcPr>
            <w:tcW w:w="6174" w:type="dxa"/>
            <w:tcBorders>
              <w:top w:val="single" w:color="auto" w:sz="4" w:space="0"/>
              <w:left w:val="nil"/>
              <w:bottom w:val="single" w:color="auto" w:sz="4" w:space="0"/>
              <w:right w:val="single" w:color="auto" w:sz="4" w:space="0"/>
            </w:tcBorders>
            <w:vAlign w:val="center"/>
          </w:tcPr>
          <w:p>
            <w:pPr>
              <w:spacing w:line="360" w:lineRule="auto"/>
              <w:rPr>
                <w:rFonts w:ascii="_6977_4f53_GB2312" w:hAnsi="_6977_4f53_GB2312" w:cs="Simang"/>
                <w:color w:val="000000" w:themeColor="text1"/>
                <w:kern w:val="0"/>
                <w:szCs w:val="21"/>
                <w:highlight w:val="none"/>
                <w14:textFill>
                  <w14:solidFill>
                    <w14:schemeClr w14:val="tx1"/>
                  </w14:solidFill>
                </w14:textFill>
              </w:rPr>
            </w:pPr>
            <w:r>
              <w:rPr>
                <w:rFonts w:hint="eastAsia" w:ascii="_6977_4f53_GB2312" w:hAnsi="_6977_4f53_GB2312" w:cs="Simang"/>
                <w:color w:val="000000" w:themeColor="text1"/>
                <w:kern w:val="0"/>
                <w:highlight w:val="none"/>
                <w14:textFill>
                  <w14:solidFill>
                    <w14:schemeClr w14:val="tx1"/>
                  </w14:solidFill>
                </w14:textFill>
              </w:rPr>
              <w:t>符合第二章“供应商须知”第1.3.1</w:t>
            </w:r>
            <w:r>
              <w:rPr>
                <w:rFonts w:hint="eastAsia" w:ascii="宋体" w:hAnsi="宋体" w:cs="Simang"/>
                <w:color w:val="000000" w:themeColor="text1"/>
                <w:kern w:val="0"/>
                <w:highlight w:val="none"/>
                <w14:textFill>
                  <w14:solidFill>
                    <w14:schemeClr w14:val="tx1"/>
                  </w14:solidFill>
                </w14:textFill>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12533"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质量要求</w:t>
            </w:r>
          </w:p>
        </w:tc>
        <w:tc>
          <w:tcPr>
            <w:tcW w:w="6174"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14:textFill>
                  <w14:solidFill>
                    <w14:schemeClr w14:val="tx1"/>
                  </w14:solidFill>
                </w14:textFill>
              </w:rPr>
            </w:pPr>
            <w:r>
              <w:rPr>
                <w:rFonts w:hint="eastAsia" w:ascii="_6977_4f53_GB2312" w:hAnsi="_6977_4f53_GB2312" w:cs="Simang"/>
                <w:color w:val="000000" w:themeColor="text1"/>
                <w:kern w:val="0"/>
                <w:highlight w:val="none"/>
                <w14:textFill>
                  <w14:solidFill>
                    <w14:schemeClr w14:val="tx1"/>
                  </w14:solidFill>
                </w14:textFill>
              </w:rPr>
              <w:t>符合第二章“供应商须知”第1.3.2</w:t>
            </w:r>
            <w:r>
              <w:rPr>
                <w:rFonts w:hint="eastAsia" w:ascii="宋体" w:hAnsi="宋体" w:cs="Simang"/>
                <w:color w:val="000000" w:themeColor="text1"/>
                <w:kern w:val="0"/>
                <w:highlight w:val="none"/>
                <w14:textFill>
                  <w14:solidFill>
                    <w14:schemeClr w14:val="tx1"/>
                  </w14:solidFill>
                </w14:textFill>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12533"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交货期</w:t>
            </w:r>
          </w:p>
        </w:tc>
        <w:tc>
          <w:tcPr>
            <w:tcW w:w="6174"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14:textFill>
                  <w14:solidFill>
                    <w14:schemeClr w14:val="tx1"/>
                  </w14:solidFill>
                </w14:textFill>
              </w:rPr>
            </w:pPr>
            <w:r>
              <w:rPr>
                <w:rFonts w:hint="eastAsia" w:ascii="_6977_4f53_GB2312" w:hAnsi="_6977_4f53_GB2312" w:cs="Simang"/>
                <w:color w:val="000000" w:themeColor="text1"/>
                <w:kern w:val="0"/>
                <w:highlight w:val="none"/>
                <w14:textFill>
                  <w14:solidFill>
                    <w14:schemeClr w14:val="tx1"/>
                  </w14:solidFill>
                </w14:textFill>
              </w:rPr>
              <w:t>符合第二章“供应商须知”第1.3.3</w:t>
            </w:r>
            <w:r>
              <w:rPr>
                <w:rFonts w:hint="eastAsia" w:ascii="宋体" w:hAnsi="宋体" w:cs="Simang"/>
                <w:color w:val="000000" w:themeColor="text1"/>
                <w:kern w:val="0"/>
                <w:highlight w:val="none"/>
                <w14:textFill>
                  <w14:solidFill>
                    <w14:schemeClr w14:val="tx1"/>
                  </w14:solidFill>
                </w14:textFill>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12533"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pStyle w:val="2"/>
              <w:spacing w:line="360" w:lineRule="auto"/>
              <w:jc w:val="center"/>
              <w:rPr>
                <w:rFonts w:hAnsi="宋体" w:cs="Times New Roman"/>
                <w:color w:val="000000" w:themeColor="text1"/>
                <w:sz w:val="21"/>
                <w:szCs w:val="21"/>
                <w:highlight w:val="none"/>
                <w14:textFill>
                  <w14:solidFill>
                    <w14:schemeClr w14:val="tx1"/>
                  </w14:solidFill>
                </w14:textFill>
              </w:rPr>
            </w:pPr>
            <w:r>
              <w:rPr>
                <w:rFonts w:hint="eastAsia" w:hAnsi="宋体" w:cs="Times New Roman"/>
                <w:color w:val="000000" w:themeColor="text1"/>
                <w:sz w:val="21"/>
                <w:szCs w:val="21"/>
                <w:highlight w:val="none"/>
                <w14:textFill>
                  <w14:solidFill>
                    <w14:schemeClr w14:val="tx1"/>
                  </w14:solidFill>
                </w14:textFill>
              </w:rPr>
              <w:t>质保期</w:t>
            </w:r>
          </w:p>
        </w:tc>
        <w:tc>
          <w:tcPr>
            <w:tcW w:w="6174" w:type="dxa"/>
            <w:tcBorders>
              <w:top w:val="single" w:color="auto" w:sz="4" w:space="0"/>
              <w:left w:val="nil"/>
              <w:bottom w:val="single" w:color="auto" w:sz="4" w:space="0"/>
              <w:right w:val="single" w:color="auto" w:sz="4" w:space="0"/>
            </w:tcBorders>
            <w:vAlign w:val="center"/>
          </w:tcPr>
          <w:p>
            <w:pPr>
              <w:spacing w:line="360" w:lineRule="auto"/>
              <w:jc w:val="left"/>
              <w:rPr>
                <w:rFonts w:ascii="_6977_4f53_GB2312" w:hAnsi="_6977_4f53_GB2312" w:cs="Simang"/>
                <w:color w:val="000000" w:themeColor="text1"/>
                <w:kern w:val="0"/>
                <w:szCs w:val="21"/>
                <w:highlight w:val="none"/>
                <w14:textFill>
                  <w14:solidFill>
                    <w14:schemeClr w14:val="tx1"/>
                  </w14:solidFill>
                </w14:textFill>
              </w:rPr>
            </w:pPr>
            <w:r>
              <w:rPr>
                <w:rFonts w:hint="eastAsia" w:ascii="_6977_4f53_GB2312" w:hAnsi="_6977_4f53_GB2312" w:cs="Simang"/>
                <w:color w:val="000000" w:themeColor="text1"/>
                <w:kern w:val="0"/>
                <w:highlight w:val="none"/>
                <w14:textFill>
                  <w14:solidFill>
                    <w14:schemeClr w14:val="tx1"/>
                  </w14:solidFill>
                </w14:textFill>
              </w:rPr>
              <w:t>符合第二章“供应商须知”第1.3.4</w:t>
            </w:r>
            <w:r>
              <w:rPr>
                <w:rFonts w:hint="eastAsia" w:ascii="宋体" w:hAnsi="宋体" w:cs="Simang"/>
                <w:color w:val="000000" w:themeColor="text1"/>
                <w:kern w:val="0"/>
                <w:highlight w:val="none"/>
                <w14:textFill>
                  <w14:solidFill>
                    <w14:schemeClr w14:val="tx1"/>
                  </w14:solidFill>
                </w14:textFill>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12533"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投标有效期</w:t>
            </w:r>
          </w:p>
        </w:tc>
        <w:tc>
          <w:tcPr>
            <w:tcW w:w="6174" w:type="dxa"/>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_6977_4f53_GB2312" w:hAnsi="_6977_4f53_GB2312" w:cs="Simang"/>
                <w:color w:val="000000" w:themeColor="text1"/>
                <w:kern w:val="0"/>
                <w:highlight w:val="none"/>
                <w14:textFill>
                  <w14:solidFill>
                    <w14:schemeClr w14:val="tx1"/>
                  </w14:solidFill>
                </w14:textFill>
              </w:rPr>
              <w:t>符合第二章“供应商须知”第3.3.1</w:t>
            </w:r>
            <w:r>
              <w:rPr>
                <w:rFonts w:hint="eastAsia" w:ascii="宋体" w:hAnsi="宋体" w:cs="Simang"/>
                <w:color w:val="000000" w:themeColor="text1"/>
                <w:kern w:val="0"/>
                <w:highlight w:val="none"/>
                <w14:textFill>
                  <w14:solidFill>
                    <w14:schemeClr w14:val="tx1"/>
                  </w14:solidFill>
                </w14:textFill>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12533"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_6977_4f53_GB2312" w:hAnsi="_6977_4f53_GB2312" w:cs="Simang"/>
                <w:color w:val="000000" w:themeColor="text1"/>
                <w:kern w:val="0"/>
                <w:highlight w:val="none"/>
                <w14:textFill>
                  <w14:solidFill>
                    <w14:schemeClr w14:val="tx1"/>
                  </w14:solidFill>
                </w14:textFill>
              </w:rPr>
              <w:t>采购数量</w:t>
            </w:r>
          </w:p>
        </w:tc>
        <w:tc>
          <w:tcPr>
            <w:tcW w:w="6174" w:type="dxa"/>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kern w:val="0"/>
                <w:szCs w:val="21"/>
                <w:highlight w:val="none"/>
                <w14:textFill>
                  <w14:solidFill>
                    <w14:schemeClr w14:val="tx1"/>
                  </w14:solidFill>
                </w14:textFill>
              </w:rPr>
            </w:pPr>
            <w:r>
              <w:rPr>
                <w:rFonts w:hint="eastAsia" w:ascii="_6977_4f53_GB2312" w:hAnsi="_6977_4f53_GB2312" w:cs="Simang"/>
                <w:color w:val="000000" w:themeColor="text1"/>
                <w:kern w:val="0"/>
                <w:highlight w:val="none"/>
                <w14:textFill>
                  <w14:solidFill>
                    <w14:schemeClr w14:val="tx1"/>
                  </w14:solidFill>
                </w14:textFill>
              </w:rPr>
              <w:t>符合第五章“采购数量及技术要求”规定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12533"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投标报价</w:t>
            </w:r>
          </w:p>
        </w:tc>
        <w:tc>
          <w:tcPr>
            <w:tcW w:w="6174" w:type="dxa"/>
            <w:tcBorders>
              <w:top w:val="single" w:color="auto" w:sz="4" w:space="0"/>
              <w:left w:val="nil"/>
              <w:bottom w:val="single" w:color="auto" w:sz="4" w:space="0"/>
              <w:right w:val="single" w:color="auto" w:sz="4" w:space="0"/>
            </w:tcBorders>
            <w:vAlign w:val="center"/>
          </w:tcPr>
          <w:p>
            <w:pPr>
              <w:spacing w:line="360" w:lineRule="auto"/>
              <w:rPr>
                <w:rFonts w:ascii="_6977_4f53_GB2312" w:hAnsi="_6977_4f53_GB2312" w:cs="Simang"/>
                <w:color w:val="000000" w:themeColor="text1"/>
                <w:kern w:val="0"/>
                <w:szCs w:val="21"/>
                <w:highlight w:val="none"/>
                <w14:textFill>
                  <w14:solidFill>
                    <w14:schemeClr w14:val="tx1"/>
                  </w14:solidFill>
                </w14:textFill>
              </w:rPr>
            </w:pPr>
            <w:r>
              <w:rPr>
                <w:rFonts w:hint="eastAsia" w:ascii="_6977_4f53_GB2312" w:hAnsi="_6977_4f53_GB2312" w:cs="Simang"/>
                <w:color w:val="000000" w:themeColor="text1"/>
                <w:kern w:val="0"/>
                <w:highlight w:val="none"/>
                <w14:textFill>
                  <w14:solidFill>
                    <w14:schemeClr w14:val="tx1"/>
                  </w14:solidFill>
                </w14:textFill>
              </w:rPr>
              <w:t>未超过采购人的招标控制价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12533"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kern w:val="0"/>
                <w:szCs w:val="21"/>
                <w:highlight w:val="none"/>
                <w14:textFill>
                  <w14:solidFill>
                    <w14:schemeClr w14:val="tx1"/>
                  </w14:solidFill>
                </w14:textFill>
              </w:rPr>
            </w:pPr>
          </w:p>
        </w:tc>
        <w:tc>
          <w:tcPr>
            <w:tcW w:w="2177"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其他要求</w:t>
            </w:r>
          </w:p>
        </w:tc>
        <w:tc>
          <w:tcPr>
            <w:tcW w:w="6174" w:type="dxa"/>
            <w:tcBorders>
              <w:top w:val="single" w:color="auto" w:sz="4" w:space="0"/>
              <w:left w:val="nil"/>
              <w:bottom w:val="single" w:color="auto" w:sz="4" w:space="0"/>
              <w:right w:val="single" w:color="auto" w:sz="4" w:space="0"/>
            </w:tcBorders>
            <w:vAlign w:val="center"/>
          </w:tcPr>
          <w:p>
            <w:pPr>
              <w:spacing w:line="360" w:lineRule="auto"/>
              <w:rPr>
                <w:rFonts w:ascii="_6977_4f53_GB2312" w:hAnsi="_6977_4f53_GB2312" w:cs="Simang"/>
                <w:color w:val="000000" w:themeColor="text1"/>
                <w:kern w:val="0"/>
                <w:szCs w:val="21"/>
                <w:highlight w:val="none"/>
                <w14:textFill>
                  <w14:solidFill>
                    <w14:schemeClr w14:val="tx1"/>
                  </w14:solidFill>
                </w14:textFill>
              </w:rPr>
            </w:pPr>
            <w:r>
              <w:rPr>
                <w:rFonts w:hint="eastAsia" w:ascii="_6977_4f53_GB2312" w:hAnsi="_6977_4f53_GB2312" w:cs="Simang"/>
                <w:color w:val="000000" w:themeColor="text1"/>
                <w:kern w:val="0"/>
                <w:highlight w:val="none"/>
                <w14:textFill>
                  <w14:solidFill>
                    <w14:schemeClr w14:val="tx1"/>
                  </w14:solidFill>
                </w14:textFill>
              </w:rPr>
              <w:t>无违反招标文件其他实质性要求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21" w:type="dxa"/>
            <w:tcBorders>
              <w:top w:val="single" w:color="auto" w:sz="4" w:space="0"/>
              <w:left w:val="single" w:color="auto" w:sz="4" w:space="0"/>
              <w:bottom w:val="single" w:color="auto" w:sz="4" w:space="0"/>
              <w:right w:val="nil"/>
            </w:tcBorders>
            <w:vAlign w:val="center"/>
          </w:tcPr>
          <w:p>
            <w:pPr>
              <w:pStyle w:val="2"/>
              <w:spacing w:line="360" w:lineRule="auto"/>
              <w:jc w:val="center"/>
              <w:rPr>
                <w:rFonts w:hAnsi="宋体" w:cs="黑体"/>
                <w:color w:val="000000" w:themeColor="text1"/>
                <w:sz w:val="21"/>
                <w:szCs w:val="21"/>
                <w:highlight w:val="none"/>
                <w14:textFill>
                  <w14:solidFill>
                    <w14:schemeClr w14:val="tx1"/>
                  </w14:solidFill>
                </w14:textFill>
              </w:rPr>
            </w:pPr>
          </w:p>
        </w:tc>
        <w:tc>
          <w:tcPr>
            <w:tcW w:w="9363" w:type="dxa"/>
            <w:gridSpan w:val="4"/>
            <w:tcBorders>
              <w:top w:val="single" w:color="auto" w:sz="4" w:space="0"/>
              <w:left w:val="nil"/>
              <w:bottom w:val="single" w:color="auto" w:sz="4" w:space="0"/>
              <w:right w:val="single" w:color="auto" w:sz="4" w:space="0"/>
            </w:tcBorders>
            <w:vAlign w:val="center"/>
          </w:tcPr>
          <w:p>
            <w:pPr>
              <w:spacing w:line="360" w:lineRule="auto"/>
              <w:rPr>
                <w:rFonts w:ascii="_6977_4f53_GB2312" w:hAnsi="_6977_4f53_GB2312" w:cs="Simang"/>
                <w:b/>
                <w:bCs/>
                <w:color w:val="000000" w:themeColor="text1"/>
                <w:kern w:val="0"/>
                <w:szCs w:val="21"/>
                <w:highlight w:val="none"/>
                <w14:textFill>
                  <w14:solidFill>
                    <w14:schemeClr w14:val="tx1"/>
                  </w14:solidFill>
                </w14:textFill>
              </w:rPr>
            </w:pPr>
            <w:r>
              <w:rPr>
                <w:rFonts w:hint="eastAsia" w:ascii="_6977_4f53_GB2312" w:hAnsi="_6977_4f53_GB2312" w:cs="Simang"/>
                <w:b/>
                <w:bCs/>
                <w:color w:val="000000" w:themeColor="text1"/>
                <w:kern w:val="0"/>
                <w:highlight w:val="none"/>
                <w14:textFill>
                  <w14:solidFill>
                    <w14:schemeClr w14:val="tx1"/>
                  </w14:solidFill>
                </w14:textFill>
              </w:rPr>
              <w:t>注：1</w:t>
            </w:r>
            <w:r>
              <w:rPr>
                <w:rFonts w:hint="eastAsia" w:ascii="宋体" w:hAnsi="宋体" w:cs="Simang"/>
                <w:b/>
                <w:bCs/>
                <w:color w:val="000000" w:themeColor="text1"/>
                <w:kern w:val="0"/>
                <w:highlight w:val="none"/>
                <w14:textFill>
                  <w14:solidFill>
                    <w14:schemeClr w14:val="tx1"/>
                  </w14:solidFill>
                </w14:textFill>
              </w:rPr>
              <w:t>、资格评中要求投标人必须附相应材料和证件的原件扫描件；</w:t>
            </w:r>
            <w:r>
              <w:rPr>
                <w:rFonts w:hint="eastAsia" w:ascii="_6977_4f53_GB2312" w:hAnsi="_6977_4f53_GB2312" w:cs="Simang"/>
                <w:b/>
                <w:bCs/>
                <w:color w:val="000000" w:themeColor="text1"/>
                <w:kern w:val="0"/>
                <w:highlight w:val="none"/>
                <w14:textFill>
                  <w14:solidFill>
                    <w14:schemeClr w14:val="tx1"/>
                  </w14:solidFill>
                </w14:textFill>
              </w:rPr>
              <w:t>否则按废标处理。</w:t>
            </w:r>
          </w:p>
          <w:p>
            <w:pPr>
              <w:spacing w:line="360" w:lineRule="auto"/>
              <w:rPr>
                <w:rFonts w:ascii="_6977_4f53_GB2312" w:hAnsi="_6977_4f53_GB2312" w:cs="Simang"/>
                <w:color w:val="000000" w:themeColor="text1"/>
                <w:kern w:val="0"/>
                <w:szCs w:val="21"/>
                <w:highlight w:val="none"/>
                <w14:textFill>
                  <w14:solidFill>
                    <w14:schemeClr w14:val="tx1"/>
                  </w14:solidFill>
                </w14:textFill>
              </w:rPr>
            </w:pPr>
            <w:r>
              <w:rPr>
                <w:rFonts w:hint="eastAsia" w:ascii="_6977_4f53_GB2312" w:hAnsi="_6977_4f53_GB2312" w:cs="Simang"/>
                <w:b/>
                <w:bCs/>
                <w:color w:val="000000" w:themeColor="text1"/>
                <w:kern w:val="0"/>
                <w:highlight w:val="none"/>
                <w14:textFill>
                  <w14:solidFill>
                    <w14:schemeClr w14:val="tx1"/>
                  </w14:solidFill>
                </w14:textFill>
              </w:rPr>
              <w:t>2</w:t>
            </w:r>
            <w:r>
              <w:rPr>
                <w:rFonts w:hint="eastAsia" w:ascii="宋体" w:hAnsi="宋体" w:cs="Simang"/>
                <w:b/>
                <w:bCs/>
                <w:color w:val="000000" w:themeColor="text1"/>
                <w:kern w:val="0"/>
                <w:highlight w:val="none"/>
                <w14:textFill>
                  <w14:solidFill>
                    <w14:schemeClr w14:val="tx1"/>
                  </w14:solidFill>
                </w14:textFill>
              </w:rPr>
              <w:t>、以上各项如有一项不合格按废标处理，不得进入详细评审阶段。</w:t>
            </w:r>
          </w:p>
        </w:tc>
      </w:tr>
    </w:tbl>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二、详细评审</w:t>
      </w:r>
    </w:p>
    <w:tbl>
      <w:tblPr>
        <w:tblStyle w:val="13"/>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866"/>
        <w:gridCol w:w="1567"/>
        <w:gridCol w:w="623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仿宋"/>
                <w:b/>
                <w:bCs/>
                <w:color w:val="000000" w:themeColor="text1"/>
                <w:szCs w:val="21"/>
                <w:highlight w:val="none"/>
                <w14:textFill>
                  <w14:solidFill>
                    <w14:schemeClr w14:val="tx1"/>
                  </w14:solidFill>
                </w14:textFill>
              </w:rPr>
            </w:pPr>
            <w:r>
              <w:rPr>
                <w:rFonts w:hint="eastAsia" w:ascii="宋体" w:hAnsi="宋体" w:cs="仿宋"/>
                <w:b/>
                <w:bCs/>
                <w:color w:val="000000" w:themeColor="text1"/>
                <w:highlight w:val="none"/>
                <w14:textFill>
                  <w14:solidFill>
                    <w14:schemeClr w14:val="tx1"/>
                  </w14:solidFill>
                </w14:textFill>
              </w:rPr>
              <w:t>序号</w:t>
            </w:r>
          </w:p>
        </w:tc>
        <w:tc>
          <w:tcPr>
            <w:tcW w:w="2433"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b/>
                <w:bCs/>
                <w:color w:val="000000" w:themeColor="text1"/>
                <w:szCs w:val="21"/>
                <w:highlight w:val="none"/>
                <w14:textFill>
                  <w14:solidFill>
                    <w14:schemeClr w14:val="tx1"/>
                  </w14:solidFill>
                </w14:textFill>
              </w:rPr>
            </w:pPr>
            <w:r>
              <w:rPr>
                <w:rFonts w:hint="eastAsia" w:ascii="宋体" w:hAnsi="宋体" w:cs="仿宋"/>
                <w:b/>
                <w:bCs/>
                <w:color w:val="000000" w:themeColor="text1"/>
                <w:highlight w:val="none"/>
                <w14:textFill>
                  <w14:solidFill>
                    <w14:schemeClr w14:val="tx1"/>
                  </w14:solidFill>
                </w14:textFill>
              </w:rPr>
              <w:t>评审因素</w:t>
            </w:r>
          </w:p>
        </w:tc>
        <w:tc>
          <w:tcPr>
            <w:tcW w:w="6237"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b/>
                <w:bCs/>
                <w:color w:val="000000" w:themeColor="text1"/>
                <w:szCs w:val="21"/>
                <w:highlight w:val="none"/>
                <w14:textFill>
                  <w14:solidFill>
                    <w14:schemeClr w14:val="tx1"/>
                  </w14:solidFill>
                </w14:textFill>
              </w:rPr>
            </w:pPr>
            <w:r>
              <w:rPr>
                <w:rFonts w:hint="eastAsia" w:ascii="宋体" w:hAnsi="宋体" w:cs="仿宋"/>
                <w:b/>
                <w:bCs/>
                <w:color w:val="000000" w:themeColor="text1"/>
                <w:highlight w:val="none"/>
                <w14:textFill>
                  <w14:solidFill>
                    <w14:schemeClr w14:val="tx1"/>
                  </w14:solidFill>
                </w14:textFill>
              </w:rPr>
              <w:t>评分标准</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b/>
                <w:bCs/>
                <w:color w:val="000000" w:themeColor="text1"/>
                <w:szCs w:val="21"/>
                <w:highlight w:val="none"/>
                <w14:textFill>
                  <w14:solidFill>
                    <w14:schemeClr w14:val="tx1"/>
                  </w14:solidFill>
                </w14:textFill>
              </w:rPr>
            </w:pPr>
            <w:r>
              <w:rPr>
                <w:rFonts w:hint="eastAsia" w:ascii="宋体" w:hAnsi="宋体" w:cs="仿宋"/>
                <w:b/>
                <w:bCs/>
                <w:color w:val="000000" w:themeColor="text1"/>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0" w:hRule="atLeast"/>
          <w:jc w:val="center"/>
        </w:trPr>
        <w:tc>
          <w:tcPr>
            <w:tcW w:w="68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1</w:t>
            </w:r>
          </w:p>
        </w:tc>
        <w:tc>
          <w:tcPr>
            <w:tcW w:w="2433"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价格部分(30分)</w:t>
            </w: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highlight w:val="none"/>
                <w14:textFill>
                  <w14:solidFill>
                    <w14:schemeClr w14:val="tx1"/>
                  </w14:solidFill>
                </w14:textFill>
              </w:rPr>
              <w:t>价格分采用低价优先法计算，即满足项目要求且投标价格最低的投标报价为评标基准价，其价格分为满分30分[当投标单位的报价低于招标控制价的10%时，则评标委员会根据该项目的情况视为本项目的报价有可能低于成本，有可能影响商品（服务）质量和不能诚信履约，该投标报价为0分，其他投标人的价格分统一按照下列公式计算：</w:t>
            </w:r>
          </w:p>
          <w:p>
            <w:pPr>
              <w:spacing w:line="360" w:lineRule="auto"/>
              <w:jc w:val="center"/>
              <w:rPr>
                <w:rFonts w:ascii="宋体" w:hAnsi="宋体" w:cs="Courier New"/>
                <w:color w:val="000000" w:themeColor="text1"/>
                <w:highlight w:val="none"/>
                <w14:textFill>
                  <w14:solidFill>
                    <w14:schemeClr w14:val="tx1"/>
                  </w14:solidFill>
                </w14:textFill>
              </w:rPr>
            </w:pPr>
            <w:r>
              <w:rPr>
                <w:rFonts w:hint="eastAsia" w:ascii="宋体" w:hAnsi="宋体" w:cs="Courier New"/>
                <w:color w:val="000000" w:themeColor="text1"/>
                <w:highlight w:val="none"/>
                <w14:textFill>
                  <w14:solidFill>
                    <w14:schemeClr w14:val="tx1"/>
                  </w14:solidFill>
                </w14:textFill>
              </w:rPr>
              <w:t>其他投标人的价格分统一按照下列公式：</w:t>
            </w:r>
          </w:p>
          <w:p>
            <w:pPr>
              <w:spacing w:line="360" w:lineRule="auto"/>
              <w:jc w:val="center"/>
              <w:rPr>
                <w:rFonts w:ascii="宋体" w:hAnsi="宋体" w:cs="Courier New"/>
                <w:color w:val="000000" w:themeColor="text1"/>
                <w:highlight w:val="none"/>
                <w14:textFill>
                  <w14:solidFill>
                    <w14:schemeClr w14:val="tx1"/>
                  </w14:solidFill>
                </w14:textFill>
              </w:rPr>
            </w:pPr>
            <w:r>
              <w:rPr>
                <w:rFonts w:hint="eastAsia" w:ascii="宋体" w:hAnsi="宋体" w:cs="Courier New"/>
                <w:color w:val="000000" w:themeColor="text1"/>
                <w:highlight w:val="none"/>
                <w14:textFill>
                  <w14:solidFill>
                    <w14:schemeClr w14:val="tx1"/>
                  </w14:solidFill>
                </w14:textFill>
              </w:rPr>
              <w:t xml:space="preserve"> 投标报价得分= (评标基准价/投标报价) *30</w:t>
            </w:r>
          </w:p>
          <w:p>
            <w:pPr>
              <w:adjustRightInd w:val="0"/>
              <w:snapToGrid w:val="0"/>
              <w:spacing w:line="288"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注：（1）价格分计算保留小数点后两位。</w:t>
            </w:r>
          </w:p>
          <w:p>
            <w:pPr>
              <w:pStyle w:val="12"/>
              <w:ind w:firstLine="315" w:firstLineChars="15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（2）为了促进中小企业发展，根据《中华人民共和国政府采购法实施条例》第六条和财库[2011]181 号的规定，给予小型和微型企业产品（投标人为小微企业且提供的所有投标产品均为小微企业生产产品）价格 6%的扣除，用扣除后的价格参与评审，小微企业产品投标报价 =小微企业产品报价×（ 1-6%）。中小企业划型标准见《关于印发中小企业划型标准规定的通知》（工信部联企业[2011]300 号）。</w:t>
            </w:r>
          </w:p>
          <w:p>
            <w:pPr>
              <w:pStyle w:val="12"/>
              <w:ind w:firstLine="21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（3）根据财政部司法部《关于政府采购支持监狱企业发展有关问题的通知》（财库〔2014〕68 号）和财政部民政部中国残疾人联合会《关于促进残疾人就业政府采购政策的通知》（财库〔2017〕141 号）规定，本项目对监狱企业、残疾人福利性企业作为投标人所提供的本企业生产的产品的价格给予 6%的扣除。监狱、残疾人福利性企业产品评标报价=监狱、残疾人福利性企业产品报价×（1-6%）</w:t>
            </w:r>
          </w:p>
          <w:p>
            <w:pPr>
              <w:spacing w:line="360" w:lineRule="auto"/>
              <w:ind w:firstLine="420" w:firstLineChars="200"/>
              <w:rPr>
                <w:rFonts w:ascii="宋体" w:hAnsi="宋体" w:cs="仿宋"/>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（4）同一投标人，小微企业、监狱、残疾人福利性企业同一产品价格扣除优惠只享受一次，不得重复享受。</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6" w:type="dxa"/>
            <w:vMerge w:val="restart"/>
            <w:tcBorders>
              <w:top w:val="nil"/>
              <w:left w:val="single" w:color="auto" w:sz="4" w:space="0"/>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2</w:t>
            </w:r>
          </w:p>
        </w:tc>
        <w:tc>
          <w:tcPr>
            <w:tcW w:w="866" w:type="dxa"/>
            <w:vMerge w:val="restart"/>
            <w:tcBorders>
              <w:top w:val="nil"/>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综合部分(32分)</w:t>
            </w:r>
          </w:p>
        </w:tc>
        <w:tc>
          <w:tcPr>
            <w:tcW w:w="156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信用评估报告（</w:t>
            </w:r>
            <w:r>
              <w:rPr>
                <w:rFonts w:ascii="宋体" w:hAnsi="宋体" w:cs="仿宋"/>
                <w:color w:val="000000" w:themeColor="text1"/>
                <w:highlight w:val="none"/>
                <w14:textFill>
                  <w14:solidFill>
                    <w14:schemeClr w14:val="tx1"/>
                  </w14:solidFill>
                </w14:textFill>
              </w:rPr>
              <w:t>2</w:t>
            </w:r>
            <w:r>
              <w:rPr>
                <w:rFonts w:hint="eastAsia" w:ascii="宋体" w:hAnsi="宋体" w:cs="仿宋"/>
                <w:color w:val="000000" w:themeColor="text1"/>
                <w:highlight w:val="none"/>
                <w14:textFill>
                  <w14:solidFill>
                    <w14:schemeClr w14:val="tx1"/>
                  </w14:solidFill>
                </w14:textFill>
              </w:rPr>
              <w:t>分）</w:t>
            </w: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投标人提供信用评估报告，信用等级为AAA 级得</w:t>
            </w:r>
            <w:r>
              <w:rPr>
                <w:rFonts w:ascii="宋体" w:hAnsi="宋体" w:cs="仿宋"/>
                <w:color w:val="000000" w:themeColor="text1"/>
                <w:highlight w:val="none"/>
                <w14:textFill>
                  <w14:solidFill>
                    <w14:schemeClr w14:val="tx1"/>
                  </w14:solidFill>
                </w14:textFill>
              </w:rPr>
              <w:t>2</w:t>
            </w:r>
            <w:r>
              <w:rPr>
                <w:rFonts w:hint="eastAsia" w:ascii="宋体" w:hAnsi="宋体" w:cs="仿宋"/>
                <w:color w:val="000000" w:themeColor="text1"/>
                <w:highlight w:val="none"/>
                <w14:textFill>
                  <w14:solidFill>
                    <w14:schemeClr w14:val="tx1"/>
                  </w14:solidFill>
                </w14:textFill>
              </w:rPr>
              <w:t>分，AA 级得</w:t>
            </w:r>
            <w:r>
              <w:rPr>
                <w:rFonts w:ascii="宋体" w:hAnsi="宋体" w:cs="仿宋"/>
                <w:color w:val="000000" w:themeColor="text1"/>
                <w:highlight w:val="none"/>
                <w14:textFill>
                  <w14:solidFill>
                    <w14:schemeClr w14:val="tx1"/>
                  </w14:solidFill>
                </w14:textFill>
              </w:rPr>
              <w:t>1</w:t>
            </w:r>
            <w:r>
              <w:rPr>
                <w:rFonts w:hint="eastAsia" w:ascii="宋体" w:hAnsi="宋体" w:cs="仿宋"/>
                <w:color w:val="000000" w:themeColor="text1"/>
                <w:highlight w:val="none"/>
                <w14:textFill>
                  <w14:solidFill>
                    <w14:schemeClr w14:val="tx1"/>
                  </w14:solidFill>
                </w14:textFill>
              </w:rPr>
              <w:t>分，AA 级（不含）以下不得分。投标人所提供的信用评估报告，应是在工商部门注册并在河南省或者其他省级信用建设促进会备案认可的信用评级机构出具的信用评估报告。</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ascii="宋体" w:hAnsi="宋体" w:cs="仿宋"/>
                <w:color w:val="000000" w:themeColor="text1"/>
                <w:highlight w:val="none"/>
                <w14:textFill>
                  <w14:solidFill>
                    <w14:schemeClr w14:val="tx1"/>
                  </w14:solidFill>
                </w14:textFill>
              </w:rPr>
              <w:t>2</w:t>
            </w:r>
            <w:r>
              <w:rPr>
                <w:rFonts w:hint="eastAsia" w:ascii="宋体" w:hAnsi="宋体" w:cs="仿宋"/>
                <w:color w:val="000000" w:themeColor="text1"/>
                <w:highlight w:val="none"/>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企业业绩</w:t>
            </w:r>
          </w:p>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（3分）</w:t>
            </w: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投标人提供2017年1月1日以来承建的类似项目业绩，合同金额在1600万元（含）以上的，每提供一份得1分，此项最多计3分；（提供网页中标公示截图，中标通知书和合同原件扫描件附于投标文件中并加盖公章）</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企业综合实力（7分）</w:t>
            </w: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 xml:space="preserve"> </w:t>
            </w:r>
            <w:r>
              <w:rPr>
                <w:rFonts w:hint="eastAsia" w:ascii="宋体" w:hAnsi="宋体" w:cs="仿宋"/>
                <w:color w:val="000000" w:themeColor="text1"/>
                <w:szCs w:val="21"/>
                <w:highlight w:val="none"/>
                <w14:textFill>
                  <w14:solidFill>
                    <w14:schemeClr w14:val="tx1"/>
                  </w14:solidFill>
                </w14:textFill>
              </w:rPr>
              <w:t>1、投标人同时具有质量管理体系认证证书、工程建设施工企业质量管理体系认证证书、环境管理体系认证证书、职业健康安全管理体系认证证书的得2分，其他情况不得分；</w:t>
            </w:r>
          </w:p>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2、投标人具有音视频集成工程企业资质壹级资质等级证书，得1分，贰级及以下资质证书得0</w:t>
            </w:r>
            <w:r>
              <w:rPr>
                <w:rFonts w:ascii="宋体" w:hAnsi="宋体" w:cs="仿宋"/>
                <w:color w:val="000000" w:themeColor="text1"/>
                <w:szCs w:val="21"/>
                <w:highlight w:val="none"/>
                <w14:textFill>
                  <w14:solidFill>
                    <w14:schemeClr w14:val="tx1"/>
                  </w14:solidFill>
                </w14:textFill>
              </w:rPr>
              <w:t>.5</w:t>
            </w:r>
            <w:r>
              <w:rPr>
                <w:rFonts w:hint="eastAsia" w:ascii="宋体" w:hAnsi="宋体" w:cs="仿宋"/>
                <w:color w:val="000000" w:themeColor="text1"/>
                <w:szCs w:val="21"/>
                <w:highlight w:val="none"/>
                <w14:textFill>
                  <w14:solidFill>
                    <w14:schemeClr w14:val="tx1"/>
                  </w14:solidFill>
                </w14:textFill>
              </w:rPr>
              <w:t>分，其他情况不得分；</w:t>
            </w:r>
          </w:p>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3、投标人具有IT服务管理体系认证证书和信息安全管理体系认证证书的得2分，具有其中一项的得0</w:t>
            </w:r>
            <w:r>
              <w:rPr>
                <w:rFonts w:ascii="宋体" w:hAnsi="宋体" w:cs="仿宋"/>
                <w:color w:val="000000" w:themeColor="text1"/>
                <w:szCs w:val="21"/>
                <w:highlight w:val="none"/>
                <w14:textFill>
                  <w14:solidFill>
                    <w14:schemeClr w14:val="tx1"/>
                  </w14:solidFill>
                </w14:textFill>
              </w:rPr>
              <w:t>.5</w:t>
            </w:r>
            <w:r>
              <w:rPr>
                <w:rFonts w:hint="eastAsia" w:ascii="宋体" w:hAnsi="宋体" w:cs="仿宋"/>
                <w:color w:val="000000" w:themeColor="text1"/>
                <w:szCs w:val="21"/>
                <w:highlight w:val="none"/>
                <w14:textFill>
                  <w14:solidFill>
                    <w14:schemeClr w14:val="tx1"/>
                  </w14:solidFill>
                </w14:textFill>
              </w:rPr>
              <w:t>分，其他情况不得分；</w:t>
            </w:r>
          </w:p>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4、投标人具有ITSS信息技术服务运行维护标准符合性成熟度贰级及以上的得1分，叁级得0</w:t>
            </w:r>
            <w:r>
              <w:rPr>
                <w:rFonts w:ascii="宋体" w:hAnsi="宋体" w:cs="仿宋"/>
                <w:color w:val="000000" w:themeColor="text1"/>
                <w:szCs w:val="21"/>
                <w:highlight w:val="none"/>
                <w14:textFill>
                  <w14:solidFill>
                    <w14:schemeClr w14:val="tx1"/>
                  </w14:solidFill>
                </w14:textFill>
              </w:rPr>
              <w:t>.5</w:t>
            </w:r>
            <w:r>
              <w:rPr>
                <w:rFonts w:hint="eastAsia" w:ascii="宋体" w:hAnsi="宋体" w:cs="仿宋"/>
                <w:color w:val="000000" w:themeColor="text1"/>
                <w:szCs w:val="21"/>
                <w:highlight w:val="none"/>
                <w14:textFill>
                  <w14:solidFill>
                    <w14:schemeClr w14:val="tx1"/>
                  </w14:solidFill>
                </w14:textFill>
              </w:rPr>
              <w:t>分，其他情况不得分；</w:t>
            </w:r>
          </w:p>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5、投标人具有建筑机电安装工程专业承包三级及以上资质得1分，其他情况不得分；</w:t>
            </w:r>
          </w:p>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以上资料提供原件扫描件加盖公章</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核心产品（LED大屏）生产厂商综合实力</w:t>
            </w:r>
          </w:p>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(7分)</w:t>
            </w: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1、所投led显示产品通过中国节能环保认证，投标时提供相关证书扫描件加盖制造商公章；满足得2分，否则不得分。</w:t>
            </w:r>
          </w:p>
          <w:p>
            <w:pPr>
              <w:spacing w:line="360" w:lineRule="auto"/>
              <w:rPr>
                <w:rFonts w:ascii="宋体" w:hAnsi="宋体" w:cs="仿宋"/>
                <w:color w:val="000000" w:themeColor="text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2、制造商必须为高新技术企业，投标时提供证书扫描件加盖制造商公章；满足得2分，否则不得分。</w:t>
            </w:r>
          </w:p>
          <w:p>
            <w:pPr>
              <w:spacing w:line="360" w:lineRule="auto"/>
              <w:rPr>
                <w:rFonts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3、制造商具有ISO9001、ISO14001、ISO45001体系认证，投标时提供证书扫描件加盖制造商公章；全部满足得3分，缺1个扣1分，扣完为止。</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项目人员</w:t>
            </w:r>
          </w:p>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（3分）</w:t>
            </w: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拟派项目团队成员中具有国家人力资源和社会保障部及国家工业和信息化部批准颁发的信息系统项目管理师证书（1名）、注册信息安全工程师证书（1名）、系统集成项目管理工程师证书（1名）每提供一项得1分，全部提供得3分，不提供不得分。</w:t>
            </w:r>
          </w:p>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 xml:space="preserve">以上人员需提供投标单位为其缴纳的自2019年7月以来的连续的社保证明（单个人员具有多个证书的，只认其中一个证书），及劳动合同证明文件的原件扫描件加盖公章。   </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售后服务承诺（10分）</w:t>
            </w:r>
          </w:p>
        </w:tc>
        <w:tc>
          <w:tcPr>
            <w:tcW w:w="6237" w:type="dxa"/>
            <w:tcBorders>
              <w:top w:val="single" w:color="auto" w:sz="4" w:space="0"/>
              <w:left w:val="nil"/>
              <w:bottom w:val="single" w:color="auto" w:sz="4" w:space="0"/>
              <w:right w:val="single" w:color="auto" w:sz="4" w:space="0"/>
            </w:tcBorders>
            <w:vAlign w:val="center"/>
          </w:tcPr>
          <w:p>
            <w:pPr>
              <w:pStyle w:val="2"/>
              <w:spacing w:line="360" w:lineRule="auto"/>
              <w:rPr>
                <w:rFonts w:hint="eastAsia" w:ascii="Calibri" w:cs="Times New Roman"/>
                <w:color w:val="000000" w:themeColor="text1"/>
                <w:kern w:val="2"/>
                <w:sz w:val="21"/>
                <w:szCs w:val="21"/>
                <w:highlight w:val="none"/>
                <w14:textFill>
                  <w14:solidFill>
                    <w14:schemeClr w14:val="tx1"/>
                  </w14:solidFill>
                </w14:textFill>
              </w:rPr>
            </w:pPr>
            <w:r>
              <w:rPr>
                <w:rFonts w:hint="eastAsia" w:ascii="Calibri" w:cs="Times New Roman"/>
                <w:color w:val="000000" w:themeColor="text1"/>
                <w:kern w:val="2"/>
                <w:sz w:val="21"/>
                <w:szCs w:val="21"/>
                <w:highlight w:val="none"/>
                <w14:textFill>
                  <w14:solidFill>
                    <w14:schemeClr w14:val="tx1"/>
                  </w14:solidFill>
                </w14:textFill>
              </w:rPr>
              <w:t>1、售后服务承诺：针对售后服务措施、系统维护服务、响应时间、维护技术力量投入等方面进行酌情打分。（0-4</w:t>
            </w:r>
            <w:r>
              <w:rPr>
                <w:rFonts w:hint="eastAsia" w:hAnsi="宋体" w:cs="Times New Roman"/>
                <w:color w:val="000000" w:themeColor="text1"/>
                <w:kern w:val="2"/>
                <w:sz w:val="21"/>
                <w:szCs w:val="21"/>
                <w:highlight w:val="none"/>
                <w14:textFill>
                  <w14:solidFill>
                    <w14:schemeClr w14:val="tx1"/>
                  </w14:solidFill>
                </w14:textFill>
              </w:rPr>
              <w:t>）</w:t>
            </w:r>
          </w:p>
          <w:p>
            <w:pPr>
              <w:pStyle w:val="2"/>
              <w:numPr>
                <w:ilvl w:val="0"/>
                <w:numId w:val="4"/>
              </w:numPr>
              <w:spacing w:line="360" w:lineRule="auto"/>
              <w:rPr>
                <w:rFonts w:hint="eastAsia" w:ascii="Calibri" w:cs="Times New Roman"/>
                <w:color w:val="000000" w:themeColor="text1"/>
                <w:kern w:val="2"/>
                <w:sz w:val="21"/>
                <w:szCs w:val="21"/>
                <w:highlight w:val="none"/>
                <w14:textFill>
                  <w14:solidFill>
                    <w14:schemeClr w14:val="tx1"/>
                  </w14:solidFill>
                </w14:textFill>
              </w:rPr>
            </w:pPr>
            <w:r>
              <w:rPr>
                <w:rFonts w:hint="eastAsia" w:ascii="Calibri" w:cs="Times New Roman"/>
                <w:color w:val="000000" w:themeColor="text1"/>
                <w:kern w:val="2"/>
                <w:sz w:val="21"/>
                <w:szCs w:val="21"/>
                <w:highlight w:val="none"/>
                <w14:textFill>
                  <w14:solidFill>
                    <w14:schemeClr w14:val="tx1"/>
                  </w14:solidFill>
                </w14:textFill>
              </w:rPr>
              <w:t>质保承诺：投标人提供的其它实质性优惠条件（ 0-4分）</w:t>
            </w:r>
          </w:p>
          <w:p>
            <w:pPr>
              <w:pStyle w:val="2"/>
              <w:numPr>
                <w:ilvl w:val="0"/>
                <w:numId w:val="4"/>
              </w:numPr>
              <w:spacing w:line="360" w:lineRule="auto"/>
              <w:rPr>
                <w:rFonts w:ascii="Calibri" w:cs="Times New Roman"/>
                <w:color w:val="000000" w:themeColor="text1"/>
                <w:kern w:val="2"/>
                <w:sz w:val="21"/>
                <w:szCs w:val="21"/>
                <w:highlight w:val="none"/>
                <w14:textFill>
                  <w14:solidFill>
                    <w14:schemeClr w14:val="tx1"/>
                  </w14:solidFill>
                </w14:textFill>
              </w:rPr>
            </w:pPr>
            <w:r>
              <w:rPr>
                <w:rFonts w:hint="eastAsia" w:ascii="Calibri" w:cs="Times New Roman"/>
                <w:color w:val="000000" w:themeColor="text1"/>
                <w:kern w:val="2"/>
                <w:sz w:val="21"/>
                <w:szCs w:val="21"/>
                <w:highlight w:val="none"/>
                <w14:textFill>
                  <w14:solidFill>
                    <w14:schemeClr w14:val="tx1"/>
                  </w14:solidFill>
                </w14:textFill>
              </w:rPr>
              <w:t>其它承诺（0-2分）</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86" w:type="dxa"/>
            <w:vMerge w:val="restart"/>
            <w:tcBorders>
              <w:top w:val="nil"/>
              <w:left w:val="single" w:color="auto" w:sz="4" w:space="0"/>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w:t>
            </w:r>
          </w:p>
        </w:tc>
        <w:tc>
          <w:tcPr>
            <w:tcW w:w="866" w:type="dxa"/>
            <w:vMerge w:val="restart"/>
            <w:tcBorders>
              <w:top w:val="nil"/>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技术部分（38分）</w:t>
            </w:r>
          </w:p>
        </w:tc>
        <w:tc>
          <w:tcPr>
            <w:tcW w:w="1567" w:type="dxa"/>
            <w:tcBorders>
              <w:top w:val="single" w:color="auto" w:sz="4" w:space="0"/>
              <w:left w:val="nil"/>
              <w:bottom w:val="single" w:color="auto" w:sz="4" w:space="0"/>
              <w:right w:val="single" w:color="auto" w:sz="4" w:space="0"/>
            </w:tcBorders>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技术规格偏离情况</w:t>
            </w:r>
          </w:p>
          <w:p>
            <w:pPr>
              <w:pStyle w:val="2"/>
              <w:jc w:val="center"/>
              <w:rPr>
                <w:rFonts w:cs="Times New Roman"/>
                <w:color w:val="000000" w:themeColor="text1"/>
                <w:highlight w:val="none"/>
                <w14:textFill>
                  <w14:solidFill>
                    <w14:schemeClr w14:val="tx1"/>
                  </w14:solidFill>
                </w14:textFill>
              </w:rPr>
            </w:pPr>
            <w:r>
              <w:rPr>
                <w:rFonts w:hint="eastAsia" w:hAnsi="宋体" w:cs="仿宋"/>
                <w:color w:val="000000" w:themeColor="text1"/>
                <w:sz w:val="21"/>
                <w:szCs w:val="21"/>
                <w:highlight w:val="none"/>
                <w14:textFill>
                  <w14:solidFill>
                    <w14:schemeClr w14:val="tx1"/>
                  </w14:solidFill>
                </w14:textFill>
              </w:rPr>
              <w:t>（20分）</w:t>
            </w:r>
          </w:p>
        </w:tc>
        <w:tc>
          <w:tcPr>
            <w:tcW w:w="6237" w:type="dxa"/>
            <w:tcBorders>
              <w:top w:val="single" w:color="auto" w:sz="4" w:space="0"/>
              <w:left w:val="nil"/>
              <w:bottom w:val="single" w:color="auto" w:sz="4" w:space="0"/>
              <w:right w:val="single" w:color="auto" w:sz="4" w:space="0"/>
            </w:tcBorders>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根据投标人对招标文件中各项技术和服务要求的逐项响应。带"★"的条款投标人须完全满足招标文件所陈述技术要求并提供相关证明材料扫描件进行响应（不接受仅由文字说明响应情况），加"★" 出现不满足或者负偏离每有一项扣2分，扣完为止；非加"★"项的条款每有一项不满足扣1分，扣完为止。</w:t>
            </w:r>
          </w:p>
        </w:tc>
        <w:tc>
          <w:tcPr>
            <w:tcW w:w="851" w:type="dxa"/>
            <w:tcBorders>
              <w:top w:val="single" w:color="auto" w:sz="4" w:space="0"/>
              <w:left w:val="nil"/>
              <w:bottom w:val="single" w:color="auto" w:sz="4" w:space="0"/>
              <w:right w:val="single" w:color="auto" w:sz="4" w:space="0"/>
            </w:tcBorders>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2</w:t>
            </w:r>
            <w:r>
              <w:rPr>
                <w:rFonts w:ascii="宋体" w:hAnsi="宋体" w:cs="仿宋"/>
                <w:color w:val="000000" w:themeColor="text1"/>
                <w:highlight w:val="none"/>
                <w14:textFill>
                  <w14:solidFill>
                    <w14:schemeClr w14:val="tx1"/>
                  </w14:solidFill>
                </w14:textFill>
              </w:rPr>
              <w:t>0</w:t>
            </w:r>
            <w:r>
              <w:rPr>
                <w:rFonts w:hint="eastAsia" w:ascii="宋体" w:hAnsi="宋体" w:cs="仿宋"/>
                <w:color w:val="000000" w:themeColor="text1"/>
                <w:highlight w:val="none"/>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vMerge w:val="restart"/>
            <w:tcBorders>
              <w:top w:val="nil"/>
              <w:left w:val="nil"/>
              <w:bottom w:val="single" w:color="auto" w:sz="4" w:space="0"/>
              <w:right w:val="single" w:color="auto" w:sz="4" w:space="0"/>
            </w:tcBorders>
            <w:vAlign w:val="center"/>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施工组织设计</w:t>
            </w:r>
          </w:p>
          <w:p>
            <w:pPr>
              <w:pStyle w:val="2"/>
              <w:jc w:val="center"/>
              <w:rPr>
                <w:rFonts w:cs="Times New Roman"/>
                <w:color w:val="000000" w:themeColor="text1"/>
                <w:highlight w:val="none"/>
                <w14:textFill>
                  <w14:solidFill>
                    <w14:schemeClr w14:val="tx1"/>
                  </w14:solidFill>
                </w14:textFill>
              </w:rPr>
            </w:pPr>
            <w:r>
              <w:rPr>
                <w:rFonts w:hint="eastAsia" w:hAnsi="宋体" w:cs="仿宋"/>
                <w:color w:val="000000" w:themeColor="text1"/>
                <w:sz w:val="21"/>
                <w:szCs w:val="21"/>
                <w:highlight w:val="none"/>
                <w14:textFill>
                  <w14:solidFill>
                    <w14:schemeClr w14:val="tx1"/>
                  </w14:solidFill>
                </w14:textFill>
              </w:rPr>
              <w:t>（18分）</w:t>
            </w: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1、工程进度计划与措施：根据项目进度计划和措施的针对性、合理性、科学性，“优”得4分，较好的得2-3分，一般的0</w:t>
            </w:r>
            <w:r>
              <w:rPr>
                <w:rFonts w:ascii="宋体" w:hAnsi="宋体" w:cs="仿宋"/>
                <w:color w:val="000000" w:themeColor="text1"/>
                <w:highlight w:val="none"/>
                <w14:textFill>
                  <w14:solidFill>
                    <w14:schemeClr w14:val="tx1"/>
                  </w14:solidFill>
                </w14:textFill>
              </w:rPr>
              <w:t>.5</w:t>
            </w:r>
            <w:r>
              <w:rPr>
                <w:rFonts w:hint="eastAsia" w:ascii="宋体" w:hAnsi="宋体" w:cs="仿宋"/>
                <w:color w:val="000000" w:themeColor="text1"/>
                <w:highlight w:val="none"/>
                <w14:textFill>
                  <w14:solidFill>
                    <w14:schemeClr w14:val="tx1"/>
                  </w14:solidFill>
                </w14:textFill>
              </w:rPr>
              <w:t>-1</w:t>
            </w:r>
            <w:r>
              <w:rPr>
                <w:rFonts w:ascii="宋体" w:hAnsi="宋体" w:cs="仿宋"/>
                <w:color w:val="000000" w:themeColor="text1"/>
                <w:highlight w:val="none"/>
                <w14:textFill>
                  <w14:solidFill>
                    <w14:schemeClr w14:val="tx1"/>
                  </w14:solidFill>
                </w14:textFill>
              </w:rPr>
              <w:t>分</w:t>
            </w:r>
            <w:r>
              <w:rPr>
                <w:rFonts w:hint="eastAsia" w:ascii="宋体" w:hAnsi="宋体" w:cs="仿宋"/>
                <w:color w:val="000000" w:themeColor="text1"/>
                <w:highlight w:val="none"/>
                <w14:textFill>
                  <w14:solidFill>
                    <w14:schemeClr w14:val="tx1"/>
                  </w14:solidFill>
                </w14:textFill>
              </w:rPr>
              <w:t>，其它不得分。</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vMerge w:val="continue"/>
            <w:tcBorders>
              <w:top w:val="nil"/>
              <w:left w:val="nil"/>
              <w:bottom w:val="single" w:color="auto" w:sz="4" w:space="0"/>
              <w:right w:val="single" w:color="auto" w:sz="4" w:space="0"/>
            </w:tcBorders>
            <w:vAlign w:val="center"/>
          </w:tcPr>
          <w:p>
            <w:pPr>
              <w:widowControl/>
              <w:jc w:val="left"/>
              <w:rPr>
                <w:rFonts w:ascii="宋体"/>
                <w:color w:val="000000" w:themeColor="text1"/>
                <w:kern w:val="0"/>
                <w:sz w:val="24"/>
                <w:highlight w:val="none"/>
                <w14:textFill>
                  <w14:solidFill>
                    <w14:schemeClr w14:val="tx1"/>
                  </w14:solidFill>
                </w14:textFill>
              </w:rPr>
            </w:pP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2、根据施工材料的进、出、存放及现场管理措施、制度进行对比。 “优”得3分，较好的得1-2分，一般得0</w:t>
            </w:r>
            <w:r>
              <w:rPr>
                <w:rFonts w:ascii="宋体" w:hAnsi="宋体" w:cs="仿宋"/>
                <w:color w:val="000000" w:themeColor="text1"/>
                <w:highlight w:val="none"/>
                <w14:textFill>
                  <w14:solidFill>
                    <w14:schemeClr w14:val="tx1"/>
                  </w14:solidFill>
                </w14:textFill>
              </w:rPr>
              <w:t>.5分</w:t>
            </w:r>
            <w:r>
              <w:rPr>
                <w:rFonts w:hint="eastAsia" w:ascii="宋体" w:hAnsi="宋体" w:cs="仿宋"/>
                <w:color w:val="000000" w:themeColor="text1"/>
                <w:highlight w:val="none"/>
                <w14:textFill>
                  <w14:solidFill>
                    <w14:schemeClr w14:val="tx1"/>
                  </w14:solidFill>
                </w14:textFill>
              </w:rPr>
              <w:t>；其它不得分。</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vMerge w:val="continue"/>
            <w:tcBorders>
              <w:top w:val="nil"/>
              <w:left w:val="nil"/>
              <w:bottom w:val="single" w:color="auto" w:sz="4" w:space="0"/>
              <w:right w:val="single" w:color="auto" w:sz="4" w:space="0"/>
            </w:tcBorders>
            <w:vAlign w:val="center"/>
          </w:tcPr>
          <w:p>
            <w:pPr>
              <w:widowControl/>
              <w:jc w:val="left"/>
              <w:rPr>
                <w:rFonts w:ascii="宋体"/>
                <w:color w:val="000000" w:themeColor="text1"/>
                <w:kern w:val="0"/>
                <w:sz w:val="24"/>
                <w:highlight w:val="none"/>
                <w14:textFill>
                  <w14:solidFill>
                    <w14:schemeClr w14:val="tx1"/>
                  </w14:solidFill>
                </w14:textFill>
              </w:rPr>
            </w:pP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3、文明施工措施、安全保证措施。对各投标人的方案进行比较，“优”得3分，较好的得1-2分，一般得0</w:t>
            </w:r>
            <w:r>
              <w:rPr>
                <w:rFonts w:ascii="宋体" w:hAnsi="宋体" w:cs="仿宋"/>
                <w:color w:val="000000" w:themeColor="text1"/>
                <w:highlight w:val="none"/>
                <w14:textFill>
                  <w14:solidFill>
                    <w14:schemeClr w14:val="tx1"/>
                  </w14:solidFill>
                </w14:textFill>
              </w:rPr>
              <w:t>.5分</w:t>
            </w:r>
            <w:r>
              <w:rPr>
                <w:rFonts w:hint="eastAsia" w:ascii="宋体" w:hAnsi="宋体" w:cs="仿宋"/>
                <w:color w:val="000000" w:themeColor="text1"/>
                <w:highlight w:val="none"/>
                <w14:textFill>
                  <w14:solidFill>
                    <w14:schemeClr w14:val="tx1"/>
                  </w14:solidFill>
                </w14:textFill>
              </w:rPr>
              <w:t>；其它不得分。</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vMerge w:val="continue"/>
            <w:tcBorders>
              <w:top w:val="nil"/>
              <w:left w:val="nil"/>
              <w:bottom w:val="single" w:color="auto" w:sz="4" w:space="0"/>
              <w:right w:val="single" w:color="auto" w:sz="4" w:space="0"/>
            </w:tcBorders>
            <w:vAlign w:val="center"/>
          </w:tcPr>
          <w:p>
            <w:pPr>
              <w:widowControl/>
              <w:jc w:val="left"/>
              <w:rPr>
                <w:rFonts w:ascii="宋体"/>
                <w:color w:val="000000" w:themeColor="text1"/>
                <w:kern w:val="0"/>
                <w:sz w:val="24"/>
                <w:highlight w:val="none"/>
                <w14:textFill>
                  <w14:solidFill>
                    <w14:schemeClr w14:val="tx1"/>
                  </w14:solidFill>
                </w14:textFill>
              </w:rPr>
            </w:pP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4、成品及半成品现场保护措施。对各投标人的方案进行比较， “优”得3分，较好的得1-2分，一般得0</w:t>
            </w:r>
            <w:r>
              <w:rPr>
                <w:rFonts w:ascii="宋体" w:hAnsi="宋体" w:cs="仿宋"/>
                <w:color w:val="000000" w:themeColor="text1"/>
                <w:highlight w:val="none"/>
                <w14:textFill>
                  <w14:solidFill>
                    <w14:schemeClr w14:val="tx1"/>
                  </w14:solidFill>
                </w14:textFill>
              </w:rPr>
              <w:t>.5分</w:t>
            </w:r>
            <w:r>
              <w:rPr>
                <w:rFonts w:hint="eastAsia" w:ascii="宋体" w:hAnsi="宋体" w:cs="仿宋"/>
                <w:color w:val="000000" w:themeColor="text1"/>
                <w:highlight w:val="none"/>
                <w14:textFill>
                  <w14:solidFill>
                    <w14:schemeClr w14:val="tx1"/>
                  </w14:solidFill>
                </w14:textFill>
              </w:rPr>
              <w:t>；其它不得分。</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866" w:type="dxa"/>
            <w:vMerge w:val="continue"/>
            <w:tcBorders>
              <w:top w:val="nil"/>
              <w:left w:val="nil"/>
              <w:bottom w:val="single" w:color="auto" w:sz="4" w:space="0"/>
              <w:right w:val="single" w:color="auto" w:sz="4" w:space="0"/>
            </w:tcBorders>
            <w:vAlign w:val="center"/>
          </w:tcPr>
          <w:p>
            <w:pPr>
              <w:widowControl/>
              <w:jc w:val="left"/>
              <w:rPr>
                <w:rFonts w:ascii="宋体" w:hAnsi="宋体" w:cs="仿宋"/>
                <w:color w:val="000000" w:themeColor="text1"/>
                <w:szCs w:val="21"/>
                <w:highlight w:val="none"/>
                <w14:textFill>
                  <w14:solidFill>
                    <w14:schemeClr w14:val="tx1"/>
                  </w14:solidFill>
                </w14:textFill>
              </w:rPr>
            </w:pPr>
          </w:p>
        </w:tc>
        <w:tc>
          <w:tcPr>
            <w:tcW w:w="1567" w:type="dxa"/>
            <w:vMerge w:val="continue"/>
            <w:tcBorders>
              <w:top w:val="nil"/>
              <w:left w:val="nil"/>
              <w:bottom w:val="single" w:color="auto" w:sz="4" w:space="0"/>
              <w:right w:val="single" w:color="auto" w:sz="4" w:space="0"/>
            </w:tcBorders>
            <w:vAlign w:val="center"/>
          </w:tcPr>
          <w:p>
            <w:pPr>
              <w:widowControl/>
              <w:jc w:val="left"/>
              <w:rPr>
                <w:rFonts w:ascii="宋体"/>
                <w:color w:val="000000" w:themeColor="text1"/>
                <w:kern w:val="0"/>
                <w:sz w:val="24"/>
                <w:highlight w:val="none"/>
                <w14:textFill>
                  <w14:solidFill>
                    <w14:schemeClr w14:val="tx1"/>
                  </w14:solidFill>
                </w14:textFill>
              </w:rPr>
            </w:pPr>
          </w:p>
        </w:tc>
        <w:tc>
          <w:tcPr>
            <w:tcW w:w="6237" w:type="dxa"/>
            <w:tcBorders>
              <w:top w:val="single" w:color="auto" w:sz="4" w:space="0"/>
              <w:left w:val="nil"/>
              <w:bottom w:val="single" w:color="auto" w:sz="4" w:space="0"/>
              <w:right w:val="single" w:color="auto" w:sz="4" w:space="0"/>
            </w:tcBorders>
            <w:vAlign w:val="center"/>
          </w:tcPr>
          <w:p>
            <w:pPr>
              <w:spacing w:line="360" w:lineRule="auto"/>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5、安装调试方案及实施步骤：对各投标人的方案的详细程度进行比较，“优”得5分，较好的得2-4分，一般得0.5-1</w:t>
            </w:r>
            <w:r>
              <w:rPr>
                <w:rFonts w:ascii="宋体" w:hAnsi="宋体" w:cs="仿宋"/>
                <w:color w:val="000000" w:themeColor="text1"/>
                <w:highlight w:val="none"/>
                <w14:textFill>
                  <w14:solidFill>
                    <w14:schemeClr w14:val="tx1"/>
                  </w14:solidFill>
                </w14:textFill>
              </w:rPr>
              <w:t>分</w:t>
            </w:r>
            <w:r>
              <w:rPr>
                <w:rFonts w:hint="eastAsia" w:ascii="宋体" w:hAnsi="宋体" w:cs="仿宋"/>
                <w:color w:val="000000" w:themeColor="text1"/>
                <w:highlight w:val="none"/>
                <w14:textFill>
                  <w14:solidFill>
                    <w14:schemeClr w14:val="tx1"/>
                  </w14:solidFill>
                </w14:textFill>
              </w:rPr>
              <w:t>，其它不得分。</w:t>
            </w:r>
          </w:p>
        </w:tc>
        <w:tc>
          <w:tcPr>
            <w:tcW w:w="85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highlight w:val="none"/>
                <w14:textFill>
                  <w14:solidFill>
                    <w14:schemeClr w14:val="tx1"/>
                  </w14:solidFill>
                </w14:textFill>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10207" w:type="dxa"/>
            <w:gridSpan w:val="5"/>
            <w:tcBorders>
              <w:top w:val="single" w:color="auto" w:sz="4" w:space="0"/>
              <w:left w:val="single" w:color="auto" w:sz="4" w:space="0"/>
              <w:bottom w:val="single" w:color="auto" w:sz="4" w:space="0"/>
              <w:right w:val="single" w:color="auto" w:sz="4" w:space="0"/>
            </w:tcBorders>
            <w:vAlign w:val="center"/>
          </w:tcPr>
          <w:p>
            <w:pPr>
              <w:numPr>
                <w:ilvl w:val="0"/>
                <w:numId w:val="5"/>
              </w:num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评标委员会根据招标文件、投标文件，按照评分办法评判分值，得出每个评委的评标分数。所有评委打分之和的算术平均值，即为该投标人的最终得分。计分过程按四舍五入取至小数点后三位，最终得分取至小数点后两。</w:t>
            </w:r>
          </w:p>
          <w:p>
            <w:pPr>
              <w:spacing w:line="360" w:lineRule="auto"/>
              <w:jc w:val="left"/>
              <w:rPr>
                <w:rFonts w:ascii="宋体" w:hAnsi="宋体" w:cs="仿宋"/>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2.在评标过程中，凡遇到招标文件中无界定或界定不清、前后不一致使评委成员意见有分歧且又难以协商一致的问题，均应采纳招标人的意见，招标人予以表决，同意的即为通过，未同意的即为否决。</w:t>
            </w:r>
          </w:p>
        </w:tc>
      </w:tr>
    </w:tbl>
    <w:p>
      <w:pPr>
        <w:pStyle w:val="2"/>
        <w:spacing w:line="360" w:lineRule="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 </w:t>
      </w:r>
    </w:p>
    <w:p>
      <w:pPr>
        <w:pStyle w:val="2"/>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1、评标方法</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本次评标采用综合评估法。评标委员会对满足招标文件实质性要求的投标文件，按照本章规定的评分标准进行打分，并按得分由高到低顺序推荐中标候选人，但投标报价低于其成本的除外。综合评分相等时，以投标报价低的优先；投标报价也相等的，技术标得分高的优先，技术标得分也相同的，由采购人摇号确定。</w:t>
      </w:r>
    </w:p>
    <w:p>
      <w:pPr>
        <w:pStyle w:val="2"/>
        <w:spacing w:line="360" w:lineRule="auto"/>
        <w:rPr>
          <w:rFonts w:hint="eastAsia" w:hAnsi="宋体"/>
          <w:b/>
          <w:bCs/>
          <w:color w:val="000000" w:themeColor="text1"/>
          <w:sz w:val="21"/>
          <w:szCs w:val="21"/>
          <w:highlight w:val="none"/>
          <w14:textFill>
            <w14:solidFill>
              <w14:schemeClr w14:val="tx1"/>
            </w14:solidFill>
          </w14:textFill>
        </w:rPr>
      </w:pPr>
      <w:bookmarkStart w:id="66" w:name="_Toc530658146"/>
      <w:bookmarkEnd w:id="66"/>
      <w:bookmarkStart w:id="67" w:name="_Toc393437610"/>
      <w:bookmarkEnd w:id="67"/>
      <w:bookmarkStart w:id="68" w:name="_Toc184635094"/>
      <w:bookmarkEnd w:id="68"/>
      <w:bookmarkStart w:id="69" w:name="_Toc369594308"/>
      <w:r>
        <w:rPr>
          <w:rFonts w:hint="eastAsia" w:hAnsi="宋体"/>
          <w:b/>
          <w:bCs/>
          <w:color w:val="000000" w:themeColor="text1"/>
          <w:sz w:val="21"/>
          <w:szCs w:val="21"/>
          <w:highlight w:val="none"/>
          <w14:textFill>
            <w14:solidFill>
              <w14:schemeClr w14:val="tx1"/>
            </w14:solidFill>
          </w14:textFill>
        </w:rPr>
        <w:t>2、评审标准</w:t>
      </w:r>
      <w:bookmarkEnd w:id="69"/>
    </w:p>
    <w:p>
      <w:pPr>
        <w:pStyle w:val="2"/>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2.1 初步评审标准</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2.1.1 形式评审标准：见评标办法前附表。</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2.1.2资格评审标准：见评标办法前附表。</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2.1.3 响应性评审标准：见评标办法前附表。</w:t>
      </w:r>
    </w:p>
    <w:p>
      <w:pPr>
        <w:pStyle w:val="2"/>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2.2 分值构成与评分标准</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2.2.1 分值构成：见前附表</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2.2.2 评标基准值计算</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评标基准值计算方法：见评标办法前附表。</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2.2.3 评分标准：见前附表</w:t>
      </w:r>
    </w:p>
    <w:p>
      <w:pPr>
        <w:pStyle w:val="2"/>
        <w:spacing w:line="360" w:lineRule="auto"/>
        <w:rPr>
          <w:rFonts w:hint="eastAsia" w:hAnsi="宋体"/>
          <w:b/>
          <w:bCs/>
          <w:color w:val="000000" w:themeColor="text1"/>
          <w:sz w:val="21"/>
          <w:szCs w:val="21"/>
          <w:highlight w:val="none"/>
          <w14:textFill>
            <w14:solidFill>
              <w14:schemeClr w14:val="tx1"/>
            </w14:solidFill>
          </w14:textFill>
        </w:rPr>
      </w:pPr>
      <w:bookmarkStart w:id="70" w:name="_Toc369594309"/>
      <w:bookmarkEnd w:id="70"/>
      <w:bookmarkStart w:id="71" w:name="_Toc530658147"/>
      <w:bookmarkEnd w:id="71"/>
      <w:bookmarkStart w:id="72" w:name="_Toc184635095"/>
      <w:bookmarkEnd w:id="72"/>
      <w:bookmarkStart w:id="73" w:name="_Toc393437611"/>
      <w:r>
        <w:rPr>
          <w:rFonts w:hint="eastAsia" w:hAnsi="宋体"/>
          <w:b/>
          <w:bCs/>
          <w:color w:val="000000" w:themeColor="text1"/>
          <w:sz w:val="21"/>
          <w:szCs w:val="21"/>
          <w:highlight w:val="none"/>
          <w14:textFill>
            <w14:solidFill>
              <w14:schemeClr w14:val="tx1"/>
            </w14:solidFill>
          </w14:textFill>
        </w:rPr>
        <w:t>3、评标程序</w:t>
      </w:r>
      <w:bookmarkEnd w:id="73"/>
    </w:p>
    <w:p>
      <w:pPr>
        <w:pStyle w:val="2"/>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3.1 初步评审</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3.1.1评标委员会依据本章第2.1.1 项-第2.1.3 项规定的评审标准对投标文件进行初步评审,有一项不符合评审标准的，作废标处理。</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3.1.2 投标人有以下情形之一的，其投标作废标处理：</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(l）第二章“投标人须知”第1.4.3 项规定的任何一种情形的：</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(2）串通投标或弄虚作假或有其他违法行为的；</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(3）不按评标委员会要求澄清、说明或补正的。</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3.1.3 投标报价有算术错误的，评标委员会按以下原则对投标报价进行修正，修正的价格经投标人书面确认后具有约束力。投标人不接受修正价格的，其投标作废标处理。</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(1）投标文件中的大写金额与小写金额不一致的，以大写金额为准；</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(2）总价金额与依据单价计算出的结果不一致的，以单价金额为准修正总价，但单价金额小数点有明显错误的除外。</w:t>
      </w:r>
    </w:p>
    <w:p>
      <w:pPr>
        <w:pStyle w:val="2"/>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3.2 详细评审</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3.2.1 评标委员会按本章量化因素和分值进行打分，并计算出综合评估得分，投标单位的最终得分为各评委打分的平均值。</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3.2.2 评分分值计算保留小数点后两位，小数点后第三位“四舍五入”。</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3.2.3 投标人得分各项之和</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3.2.4评标委员会发现投标人的报价明显低于其他投标报价，应当要求该投标人提供相应的证明材料。投标人不能合理说明或者不能提供相应证明材料的，由评标委员会认定该投标人以低于成本报价竞标，其投标报价按0分处理。</w:t>
      </w:r>
    </w:p>
    <w:p>
      <w:pPr>
        <w:pStyle w:val="2"/>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3.3 投标文件的澄清和补正</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3.3.1 在评标过程中，评标委员会可以书面形式要求投标人对所提交投标文件中不明确的内容进行书面澄清或说明，或者对细微偏差进行补正。评标委员会不接受投标人主动提出的澄清、说明或补正。</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3.3.2 澄清、说明和补正不得改变投标文件的实质性内容（算术性错误修正的除外）。投标人的书面澄清、说明和补正属于投标文件的组成部分。</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3.3.3 评标委员会对投标人提交的澄清、说明或补正有疑问的，可以要求投标人进一步澄清、说明或补正，直至满足评标委员会的要求。</w:t>
      </w:r>
    </w:p>
    <w:p>
      <w:pPr>
        <w:pStyle w:val="2"/>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3.4 评标结果</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3.4.1 除第二章“投标人须知”前附表授权直接确定中标人外，评标委员会按照得分高到低的顺序推荐3名中标候选人。</w:t>
      </w:r>
    </w:p>
    <w:p>
      <w:pPr>
        <w:pStyle w:val="2"/>
        <w:spacing w:line="360" w:lineRule="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3.4.2 评标委员会完成评标后，由应当向采购人提交书面评标报告。</w:t>
      </w:r>
    </w:p>
    <w:p>
      <w:pPr>
        <w:pStyle w:val="2"/>
        <w:spacing w:line="360" w:lineRule="auto"/>
        <w:rPr>
          <w:rFonts w:hAnsi="宋体"/>
          <w:color w:val="000000" w:themeColor="text1"/>
          <w:sz w:val="21"/>
          <w:szCs w:val="21"/>
          <w:highlight w:val="none"/>
          <w14:textFill>
            <w14:solidFill>
              <w14:schemeClr w14:val="tx1"/>
            </w14:solidFill>
          </w14:textFill>
        </w:rPr>
      </w:pPr>
    </w:p>
    <w:p>
      <w:pPr>
        <w:widowControl/>
        <w:jc w:val="left"/>
        <w:rPr>
          <w:rFonts w:ascii="宋体"/>
          <w:color w:val="000000" w:themeColor="text1"/>
          <w:kern w:val="0"/>
          <w:sz w:val="24"/>
          <w:highlight w:val="none"/>
          <w14:textFill>
            <w14:solidFill>
              <w14:schemeClr w14:val="tx1"/>
            </w14:solidFill>
          </w14:textFill>
        </w:rPr>
      </w:pPr>
      <w:r>
        <w:rPr>
          <w:color w:val="000000" w:themeColor="text1"/>
          <w:highlight w:val="none"/>
          <w14:textFill>
            <w14:solidFill>
              <w14:schemeClr w14:val="tx1"/>
            </w14:solidFill>
          </w14:textFill>
        </w:rPr>
        <w:br w:type="page"/>
      </w:r>
    </w:p>
    <w:p>
      <w:pPr>
        <w:autoSpaceDE w:val="0"/>
        <w:autoSpaceDN w:val="0"/>
        <w:spacing w:line="360" w:lineRule="auto"/>
        <w:jc w:val="center"/>
        <w:outlineLvl w:val="0"/>
        <w:rPr>
          <w:rFonts w:ascii="宋体"/>
          <w:b/>
          <w:bCs/>
          <w:color w:val="000000" w:themeColor="text1"/>
          <w:sz w:val="36"/>
          <w:szCs w:val="36"/>
          <w:highlight w:val="none"/>
          <w14:textFill>
            <w14:solidFill>
              <w14:schemeClr w14:val="tx1"/>
            </w14:solidFill>
          </w14:textFill>
        </w:rPr>
      </w:pPr>
      <w:bookmarkStart w:id="74" w:name="_Toc12385"/>
      <w:bookmarkEnd w:id="74"/>
      <w:bookmarkStart w:id="75" w:name="_Toc14989"/>
      <w:bookmarkEnd w:id="75"/>
      <w:bookmarkStart w:id="76" w:name="_Toc530658148"/>
      <w:r>
        <w:rPr>
          <w:rFonts w:hint="eastAsia" w:ascii="宋体" w:hAnsi="宋体"/>
          <w:b/>
          <w:bCs/>
          <w:color w:val="000000" w:themeColor="text1"/>
          <w:sz w:val="36"/>
          <w:szCs w:val="36"/>
          <w:highlight w:val="none"/>
          <w14:textFill>
            <w14:solidFill>
              <w14:schemeClr w14:val="tx1"/>
            </w14:solidFill>
          </w14:textFill>
        </w:rPr>
        <w:t>第四章</w:t>
      </w:r>
      <w:r>
        <w:rPr>
          <w:rFonts w:hint="eastAsia" w:ascii="宋体"/>
          <w:b/>
          <w:bCs/>
          <w:color w:val="000000" w:themeColor="text1"/>
          <w:sz w:val="36"/>
          <w:szCs w:val="36"/>
          <w:highlight w:val="none"/>
          <w14:textFill>
            <w14:solidFill>
              <w14:schemeClr w14:val="tx1"/>
            </w14:solidFill>
          </w14:textFill>
        </w:rPr>
        <w:t xml:space="preserve"> </w:t>
      </w:r>
      <w:r>
        <w:rPr>
          <w:rFonts w:hint="eastAsia" w:ascii="宋体" w:hAnsi="宋体"/>
          <w:b/>
          <w:bCs/>
          <w:color w:val="000000" w:themeColor="text1"/>
          <w:sz w:val="36"/>
          <w:szCs w:val="36"/>
          <w:highlight w:val="none"/>
          <w14:textFill>
            <w14:solidFill>
              <w14:schemeClr w14:val="tx1"/>
            </w14:solidFill>
          </w14:textFill>
        </w:rPr>
        <w:t>合同条款及格式（仅供参考）</w:t>
      </w:r>
      <w:bookmarkEnd w:id="76"/>
    </w:p>
    <w:p>
      <w:pPr>
        <w:snapToGri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widowControl/>
        <w:spacing w:line="360" w:lineRule="auto"/>
        <w:ind w:firstLine="3139" w:firstLineChars="1495"/>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政府采购合同（参考文本）</w:t>
      </w:r>
    </w:p>
    <w:tbl>
      <w:tblPr>
        <w:tblStyle w:val="13"/>
        <w:tblW w:w="9697" w:type="dxa"/>
        <w:tblInd w:w="-34" w:type="dxa"/>
        <w:tblLayout w:type="fixed"/>
        <w:tblCellMar>
          <w:top w:w="0" w:type="dxa"/>
          <w:left w:w="108" w:type="dxa"/>
          <w:bottom w:w="0" w:type="dxa"/>
          <w:right w:w="108" w:type="dxa"/>
        </w:tblCellMar>
      </w:tblPr>
      <w:tblGrid>
        <w:gridCol w:w="9697"/>
      </w:tblGrid>
      <w:tr>
        <w:tblPrEx>
          <w:tblCellMar>
            <w:top w:w="0" w:type="dxa"/>
            <w:left w:w="108" w:type="dxa"/>
            <w:bottom w:w="0" w:type="dxa"/>
            <w:right w:w="108" w:type="dxa"/>
          </w:tblCellMar>
        </w:tblPrEx>
        <w:trPr>
          <w:trHeight w:val="1127" w:hRule="atLeast"/>
        </w:trPr>
        <w:tc>
          <w:tcPr>
            <w:tcW w:w="9697" w:type="dxa"/>
            <w:tcBorders>
              <w:top w:val="single" w:color="000000" w:sz="4" w:space="0"/>
              <w:left w:val="single" w:color="000000" w:sz="4" w:space="0"/>
              <w:bottom w:val="single" w:color="000000" w:sz="4" w:space="0"/>
              <w:right w:val="single" w:color="000000" w:sz="4" w:space="0"/>
            </w:tcBorders>
          </w:tcPr>
          <w:p>
            <w:pPr>
              <w:widowControl/>
              <w:spacing w:line="360" w:lineRule="auto"/>
              <w:ind w:left="105"/>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注释： </w:t>
            </w:r>
          </w:p>
          <w:p>
            <w:pPr>
              <w:widowControl/>
              <w:spacing w:line="360" w:lineRule="auto"/>
              <w:ind w:firstLine="720"/>
              <w:rPr>
                <w:rFonts w:ascii="宋体" w:hAnsi="宋体"/>
                <w:b/>
                <w:bCs/>
                <w:color w:val="000000" w:themeColor="text1"/>
                <w:spacing w:val="20"/>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本《政府采购合同》格式条款仅作为双方签订合同的参考，为阐明各方的权利和义务，经协商可增加新的条款。 但不得与招标文件、投标文件的实质性内容相背离。</w:t>
            </w:r>
          </w:p>
        </w:tc>
      </w:tr>
    </w:tbl>
    <w:p>
      <w:pPr>
        <w:widowControl/>
        <w:spacing w:line="360" w:lineRule="auto"/>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合同编号：</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甲方(采购人)：                   住所地：                                             </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乙方（中标人）：                 住所地：</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合同签订地点：       签订日期：    年   月   日</w:t>
      </w:r>
    </w:p>
    <w:p>
      <w:pPr>
        <w:widowControl/>
        <w:spacing w:line="360" w:lineRule="auto"/>
        <w:ind w:firstLine="56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 根据《中华人民共和国政府采购法》、《中华人民共和国合同法》等法律法规的规定，甲乙双方按照招标结果（项目名称：</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，项目编号：</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）签订本合同。</w:t>
      </w:r>
    </w:p>
    <w:p>
      <w:pPr>
        <w:widowControl/>
        <w:spacing w:line="360" w:lineRule="auto"/>
        <w:ind w:firstLine="422" w:firstLineChars="200"/>
        <w:rPr>
          <w:rFonts w:ascii="宋体" w:hAnsi="宋体"/>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 xml:space="preserve">第一条：合同标的   </w:t>
      </w:r>
      <w:r>
        <w:rPr>
          <w:rFonts w:hint="eastAsia" w:ascii="宋体" w:hAnsi="宋体"/>
          <w:color w:val="000000" w:themeColor="text1"/>
          <w:kern w:val="0"/>
          <w:highlight w:val="none"/>
          <w14:textFill>
            <w14:solidFill>
              <w14:schemeClr w14:val="tx1"/>
            </w14:solidFill>
          </w14:textFill>
        </w:rPr>
        <w:t>乙方应根据本项目要求按下列清单提供货物（或服务项目的服务范围与内容），包括产品主机、随机备品备件及专用工具等：</w:t>
      </w:r>
    </w:p>
    <w:tbl>
      <w:tblPr>
        <w:tblStyle w:val="13"/>
        <w:tblW w:w="9660" w:type="dxa"/>
        <w:tblInd w:w="108" w:type="dxa"/>
        <w:tblLayout w:type="fixed"/>
        <w:tblCellMar>
          <w:top w:w="0" w:type="dxa"/>
          <w:left w:w="108" w:type="dxa"/>
          <w:bottom w:w="0" w:type="dxa"/>
          <w:right w:w="108" w:type="dxa"/>
        </w:tblCellMar>
      </w:tblPr>
      <w:tblGrid>
        <w:gridCol w:w="1260"/>
        <w:gridCol w:w="1365"/>
        <w:gridCol w:w="1260"/>
        <w:gridCol w:w="1155"/>
        <w:gridCol w:w="1365"/>
        <w:gridCol w:w="1050"/>
        <w:gridCol w:w="945"/>
        <w:gridCol w:w="1260"/>
      </w:tblGrid>
      <w:tr>
        <w:tblPrEx>
          <w:tblCellMar>
            <w:top w:w="0" w:type="dxa"/>
            <w:left w:w="108" w:type="dxa"/>
            <w:bottom w:w="0" w:type="dxa"/>
            <w:right w:w="108" w:type="dxa"/>
          </w:tblCellMar>
        </w:tblPrEx>
        <w:trPr>
          <w:trHeight w:val="646" w:hRule="atLeast"/>
        </w:trPr>
        <w:tc>
          <w:tcPr>
            <w:tcW w:w="126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产品名称</w:t>
            </w:r>
          </w:p>
        </w:tc>
        <w:tc>
          <w:tcPr>
            <w:tcW w:w="1365"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规格型号</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生产厂家</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数量</w:t>
            </w:r>
          </w:p>
        </w:tc>
        <w:tc>
          <w:tcPr>
            <w:tcW w:w="1365"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数 量</w:t>
            </w:r>
          </w:p>
          <w:p>
            <w:pPr>
              <w:widowControl/>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单 位</w:t>
            </w:r>
          </w:p>
        </w:tc>
        <w:tc>
          <w:tcPr>
            <w:tcW w:w="1050"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单 价</w:t>
            </w:r>
          </w:p>
        </w:tc>
        <w:tc>
          <w:tcPr>
            <w:tcW w:w="945"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总 价</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服务期限</w:t>
            </w:r>
          </w:p>
        </w:tc>
      </w:tr>
      <w:tr>
        <w:tblPrEx>
          <w:tblCellMar>
            <w:top w:w="0" w:type="dxa"/>
            <w:left w:w="108" w:type="dxa"/>
            <w:bottom w:w="0" w:type="dxa"/>
            <w:right w:w="108" w:type="dxa"/>
          </w:tblCellMar>
        </w:tblPrEx>
        <w:trPr>
          <w:trHeight w:val="319" w:hRule="atLeast"/>
        </w:trPr>
        <w:tc>
          <w:tcPr>
            <w:tcW w:w="1260" w:type="dxa"/>
            <w:tcBorders>
              <w:top w:val="single" w:color="000000" w:sz="4" w:space="0"/>
              <w:left w:val="single" w:color="000000" w:sz="4" w:space="0"/>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36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26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15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36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05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94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26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08" w:hRule="atLeast"/>
        </w:trPr>
        <w:tc>
          <w:tcPr>
            <w:tcW w:w="1260" w:type="dxa"/>
            <w:tcBorders>
              <w:top w:val="single" w:color="000000" w:sz="4" w:space="0"/>
              <w:left w:val="single" w:color="000000" w:sz="4" w:space="0"/>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36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26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15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36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05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94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26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9" w:hRule="atLeast"/>
        </w:trPr>
        <w:tc>
          <w:tcPr>
            <w:tcW w:w="1260" w:type="dxa"/>
            <w:tcBorders>
              <w:top w:val="single" w:color="000000" w:sz="4" w:space="0"/>
              <w:left w:val="single" w:color="000000" w:sz="4" w:space="0"/>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36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26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15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36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05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94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26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49" w:hRule="atLeast"/>
        </w:trPr>
        <w:tc>
          <w:tcPr>
            <w:tcW w:w="1260" w:type="dxa"/>
            <w:tcBorders>
              <w:top w:val="single" w:color="000000" w:sz="4" w:space="0"/>
              <w:left w:val="single" w:color="000000" w:sz="4" w:space="0"/>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36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26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15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36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05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945"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c>
          <w:tcPr>
            <w:tcW w:w="1260" w:type="dxa"/>
            <w:tcBorders>
              <w:top w:val="single" w:color="000000" w:sz="4" w:space="0"/>
              <w:left w:val="nil"/>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599" w:hRule="atLeast"/>
        </w:trPr>
        <w:tc>
          <w:tcPr>
            <w:tcW w:w="9660" w:type="dxa"/>
            <w:gridSpan w:val="8"/>
            <w:tcBorders>
              <w:top w:val="single" w:color="000000" w:sz="4" w:space="0"/>
              <w:left w:val="single" w:color="000000" w:sz="4" w:space="0"/>
              <w:bottom w:val="single" w:color="000000" w:sz="4" w:space="0"/>
              <w:right w:val="single" w:color="000000" w:sz="4" w:space="0"/>
            </w:tcBorders>
          </w:tcPr>
          <w:p>
            <w:pPr>
              <w:widowControl/>
              <w:spacing w:line="360" w:lineRule="auto"/>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合同总金额（大写）人民币（¥：）</w:t>
            </w:r>
          </w:p>
        </w:tc>
      </w:tr>
    </w:tbl>
    <w:p>
      <w:pPr>
        <w:widowControl/>
        <w:spacing w:line="360" w:lineRule="auto"/>
        <w:ind w:firstLine="422"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 xml:space="preserve">第二条：合同总价款    </w:t>
      </w:r>
      <w:r>
        <w:rPr>
          <w:rFonts w:hint="eastAsia" w:ascii="宋体" w:hAnsi="宋体"/>
          <w:color w:val="000000" w:themeColor="text1"/>
          <w:kern w:val="0"/>
          <w:highlight w:val="none"/>
          <w14:textFill>
            <w14:solidFill>
              <w14:schemeClr w14:val="tx1"/>
            </w14:solidFill>
          </w14:textFill>
        </w:rPr>
        <w:t>本合同项下货物（服务）的总价款为人民币（大写）：（￥：</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）。合同总价款中包含：本招标采购对象，及与之相关的</w:t>
      </w:r>
      <w:r>
        <w:rPr>
          <w:rFonts w:hint="eastAsia" w:ascii="宋体" w:hAnsi="宋体"/>
          <w:color w:val="000000" w:themeColor="text1"/>
          <w:highlight w:val="none"/>
          <w14:textFill>
            <w14:solidFill>
              <w14:schemeClr w14:val="tx1"/>
            </w14:solidFill>
          </w14:textFill>
        </w:rPr>
        <w:t>货物设计、制造、包装、运输、装卸、</w:t>
      </w:r>
      <w:r>
        <w:rPr>
          <w:rFonts w:hint="eastAsia" w:ascii="宋体" w:hAnsi="宋体"/>
          <w:color w:val="000000" w:themeColor="text1"/>
          <w:kern w:val="0"/>
          <w:highlight w:val="none"/>
          <w14:textFill>
            <w14:solidFill>
              <w14:schemeClr w14:val="tx1"/>
            </w14:solidFill>
          </w14:textFill>
        </w:rPr>
        <w:t>安装、调试、</w:t>
      </w:r>
      <w:r>
        <w:rPr>
          <w:rFonts w:hint="eastAsia" w:ascii="宋体" w:hAnsi="宋体"/>
          <w:color w:val="000000" w:themeColor="text1"/>
          <w:highlight w:val="none"/>
          <w14:textFill>
            <w14:solidFill>
              <w14:schemeClr w14:val="tx1"/>
            </w14:solidFill>
          </w14:textFill>
        </w:rPr>
        <w:t>质量检验、各项税费、保险费、意外事故、等</w:t>
      </w:r>
      <w:r>
        <w:rPr>
          <w:rFonts w:hint="eastAsia" w:ascii="宋体" w:hAnsi="宋体"/>
          <w:color w:val="000000" w:themeColor="text1"/>
          <w:kern w:val="0"/>
          <w:highlight w:val="none"/>
          <w14:textFill>
            <w14:solidFill>
              <w14:schemeClr w14:val="tx1"/>
            </w14:solidFill>
          </w14:textFill>
        </w:rPr>
        <w:t>验收合格前全部</w:t>
      </w:r>
      <w:r>
        <w:rPr>
          <w:rFonts w:hint="eastAsia" w:ascii="宋体" w:hAnsi="宋体"/>
          <w:color w:val="000000" w:themeColor="text1"/>
          <w:highlight w:val="none"/>
          <w14:textFill>
            <w14:solidFill>
              <w14:schemeClr w14:val="tx1"/>
            </w14:solidFill>
          </w14:textFill>
        </w:rPr>
        <w:t>费用</w:t>
      </w:r>
      <w:r>
        <w:rPr>
          <w:rFonts w:hint="eastAsia" w:ascii="宋体" w:hAnsi="宋体"/>
          <w:color w:val="000000" w:themeColor="text1"/>
          <w:kern w:val="0"/>
          <w:highlight w:val="none"/>
          <w14:textFill>
            <w14:solidFill>
              <w14:schemeClr w14:val="tx1"/>
            </w14:solidFill>
          </w14:textFill>
        </w:rPr>
        <w:t>，以及备品备件、专用工具、技术培训、技术资料、保修期内的各项保修和系统维护费用、相应的伴随服务和售后服务费用等。</w:t>
      </w:r>
    </w:p>
    <w:p>
      <w:pPr>
        <w:pStyle w:val="8"/>
        <w:spacing w:line="360" w:lineRule="auto"/>
        <w:ind w:firstLine="422" w:firstLineChars="200"/>
        <w:rPr>
          <w:rFonts w:hAnsi="宋体"/>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第三条：组成本合同的有关文件  </w:t>
      </w:r>
      <w:r>
        <w:rPr>
          <w:rFonts w:hint="eastAsia" w:hAnsi="宋体"/>
          <w:color w:val="000000" w:themeColor="text1"/>
          <w:highlight w:val="none"/>
          <w14:textFill>
            <w14:solidFill>
              <w14:schemeClr w14:val="tx1"/>
            </w14:solidFill>
          </w14:textFill>
        </w:rPr>
        <w:t>本项目的招标文件及补充文件、乙方投标文件、中标通知书、经双方和有关监督部门同意的相关变更、补充协议、澄清确认函（如果有的话）及与本次采购活动相关的文件及附件是本合同不可分割的组成部分，与本合同具有同等法律效力。构成本合同组成部分的洽商、变更等书面协议或文件，其优先顺序应视其内容与本合同及其他文件的关系而定。</w:t>
      </w:r>
    </w:p>
    <w:p>
      <w:pPr>
        <w:pStyle w:val="8"/>
        <w:spacing w:line="360" w:lineRule="auto"/>
        <w:ind w:firstLine="422" w:firstLineChars="200"/>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 xml:space="preserve">第四条  权利保证  </w:t>
      </w:r>
      <w:r>
        <w:rPr>
          <w:rFonts w:hint="eastAsia" w:hAnsi="宋体"/>
          <w:color w:val="000000" w:themeColor="text1"/>
          <w:highlight w:val="none"/>
          <w14:textFill>
            <w14:solidFill>
              <w14:schemeClr w14:val="tx1"/>
            </w14:solidFill>
          </w14:textFill>
        </w:rPr>
        <w:t>乙方应保证甲方在使用该货物（服务）或其任何一部分时不受第三方提出侵犯其专利权、版权、商标权或其他权利的起诉。一旦出现侵权，乙方应承担全部责任。</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第五条  质量保证</w:t>
      </w:r>
    </w:p>
    <w:p>
      <w:pPr>
        <w:widowControl/>
        <w:spacing w:line="360" w:lineRule="auto"/>
        <w:ind w:firstLine="420"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1、乙方所提供的货物（服务）的技术规格标准应与招标文件规定的技术规格标准相一致；若技术性能标准无特殊说明，则按国家有关部门最新颁布的标准及规范为准。</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乙方应保证货物是全新、未使用过的原装合格正品，并完全符合本项目规定的质量、规格和性能的要求。乙方应保证其提供的货物在正确安装、正常使用和保养条件下，在其使用寿命期限内具有良好的性能。货物验收后，在质保期内，乙方应对由于设计、工艺或材料的缺陷所发生的任何不足或故障负责，所需费用由乙方承担。</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第六条  包装要求</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无损运抵指定地点。由于包装不善所引起的货物损失均由乙方承担。</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2、每一包装单元内应附详细的装箱单和质量合格凭证。</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第七条  交货和验收</w:t>
      </w:r>
    </w:p>
    <w:p>
      <w:pPr>
        <w:widowControl/>
        <w:spacing w:line="360" w:lineRule="auto"/>
        <w:ind w:firstLine="420" w:firstLineChars="200"/>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1、交货（服务）地点：</w:t>
      </w:r>
    </w:p>
    <w:p>
      <w:pPr>
        <w:widowControl/>
        <w:spacing w:line="360" w:lineRule="auto"/>
        <w:ind w:firstLine="420" w:firstLineChars="200"/>
        <w:rPr>
          <w:rFonts w:ascii="宋体" w:hAnsi="宋体"/>
          <w:color w:val="000000" w:themeColor="text1"/>
          <w:kern w:val="0"/>
          <w:highlight w:val="none"/>
          <w:u w:val="singl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2、交货（服务）期限：</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天，从</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计算。</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3、乙方交付的货物（服务）应当完全符合本合同、招标文件及投标文件所规定的货物、数量和规格要求，不符要求的，甲方有权拒收货物，由此引起的风险，由乙方承担。</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4、货物的到货验收包括：型号、规格、数量、外观质量、及货物包装是否完好。</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乙方应将所提供货物的装箱清单、用户手册、原厂保修卡、随机资料及配件、随机工具等交付给甲方；乙方不能完整交付货物及本款规定的单证和工具的，视为未按合同约定交货，乙方负责补齐，因此导致逾期交付的，由乙方承担相关的违约责任。</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6、甲方应当在到货后的</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日内对货物进行验收；需要乙方对货物或系统进行安装调试的，甲方应在货物安装调试完毕后的</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日内进行质量验收。验收合格的，由甲方签署验收单并加盖单位公章。招标文件对检验期限另有规定的，从其规定。</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7、货物和系统调试验收的标准：按行业通行标准、厂方出厂标准和乙方投标文件的承诺（详细标准可在合同附件载明，且不得低于国家相关标准）。</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第八条  伴随服务及售后服务</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1、乙方应按照国家有关法律法规规定和“三包”规定以及乙方对本项目的“服务承诺”提供服务。</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2、除前款规定外，乙方还应提供下列服务：</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（1）货物的现场安装、调试及启动监督；</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（2）就货物的安装、启动、运行及维护等对甲方人员进行免费培训。</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3、若招标文件中不包含有关伴随服务或售后服务的承诺，双方作如下约定：</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3.1、 乙方应为甲方提供免费培训服务，并指派专人负责与甲方联系售后服务事宜。主要培训内容为货物的基本结构、性能、主要部件的构造及处理，日常使用操作、保养与管理、常见故障的排除、紧急情况的处理等，如甲方未使用过同类型货物，乙方还需就货物的功能对甲方人员进行相应的技术培训，培训地点主要在货物安装现场或由甲方安排。</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3.2、 货物中若包含电脑产品则由乙方提供至少年的整机保修和系统维护；若为其他货物则按生产厂家的标准执行，但不得少于 </w:t>
      </w:r>
      <w:r>
        <w:rPr>
          <w:rFonts w:hint="eastAsia" w:ascii="宋体" w:hAnsi="宋体"/>
          <w:color w:val="000000" w:themeColor="text1"/>
          <w:kern w:val="0"/>
          <w:highlight w:val="none"/>
          <w:u w:val="single"/>
          <w14:textFill>
            <w14:solidFill>
              <w14:schemeClr w14:val="tx1"/>
            </w14:solidFill>
          </w14:textFill>
        </w:rPr>
        <w:t>1</w:t>
      </w:r>
      <w:r>
        <w:rPr>
          <w:rFonts w:hint="eastAsia" w:ascii="宋体" w:hAnsi="宋体"/>
          <w:color w:val="000000" w:themeColor="text1"/>
          <w:kern w:val="0"/>
          <w:highlight w:val="none"/>
          <w14:textFill>
            <w14:solidFill>
              <w14:schemeClr w14:val="tx1"/>
            </w14:solidFill>
          </w14:textFill>
        </w:rPr>
        <w:t>年（请分别列出：）；保修期自甲方在货物质量验收单上签字之日起计算，保修费用包含在合同总价中。</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3.3、 免费保修期：</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，保修期内，乙方负责对其提供的货物整机进行维修和系统维护，不再收取任何费用。</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3.4、 货物故障报修的响应时间为：</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小时。</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3.5、若货物故障在检修小时后仍无法排除，乙方应在48小时内免费提供不低于故障货物规格型号档次的备用货物供甲方使用，直至故障货物修复。</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3.6、 所有货物保修服务方式均为乙方上门保修，即由乙方派人到货物使用现场维修，由此产生的一切费用均由乙方承担。</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3.7、 保修期以后的维修维护由双方协商再定。</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第九条   履约保证金</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本合同签订生效以前乙方应按招标文件规定的金额向甲方或甲方指定的机构提交履约保证金。如乙方未能履行合同规定的义务，甲方有权扣除其履约保证金。</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第十条   货款支付</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1、付款方式（方式）。本合同项下所有款项均以人民币支付。</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如本合同项下的采购资金系甲方自行支付，乙方向甲方开具发票，甲方在签署验收单后按付款方式约定付款。如合同项下的采购资金系财政拨款，则出具经甲方盖章确认的发票复印件、经甲方签署的验收单、合同副本等材料，按付款方式约定申请拨付款项。</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第十一条 违约责任</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1、甲方无正当理由拒绝接收货物（服务）、拒付货物（服务）款的，由甲方向乙方偿付合同总价的5%违约金。</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2、甲方未按合同规定的期限向乙方支付货款的，每逾期1天甲方向乙方偿付</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滞纳金，但累计滞纳金总额不超过欠款总额的5% 。</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3、如乙方不能按约定交付货物（服务），或交付的货物（服务）质量、品种、型号、规格等不符合合同规定或有关标准，甲方有权拒收，并扣除其履约保证金；同时乙方应向甲方支付合同总价５％的违约金。</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4、 乙方逾期交付货物的，每逾期1天，乙方向甲方偿付</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滞纳金。如乙方逾期交货达</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天，甲方有权解除合同，解除合同的通知自到达乙方时生效。</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在乙方承诺的或国家规定的质保期内（取两者中最长的期限），如经乙方两次维修或更换，货物仍不能达到合同约定的质量标准，甲方有权退货，乙方应退回全部货款，并扣除乙方质量保证金，同时，乙方还须赔偿甲方因此遭受的损失。</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6、乙方违反本合同有关约定或未按“服务承诺”提供伴随服务/售后服务的，每次扣除乙方违约金</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元（合同另有约定的从其约定）。</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7、乙方在承担上述一项或多项违约责任后，仍应继续履行合同规定的义务（甲方解除合同的除外）。甲方未及时追究乙方的任何一项违约责任并不表明甲方放弃追究乙方该项或其他违约责任。</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 xml:space="preserve">第十二条 合同的变更补充，终止及转让  </w:t>
      </w:r>
      <w:r>
        <w:rPr>
          <w:rFonts w:hint="eastAsia" w:ascii="宋体" w:hAnsi="宋体"/>
          <w:color w:val="000000" w:themeColor="text1"/>
          <w:kern w:val="0"/>
          <w:highlight w:val="none"/>
          <w14:textFill>
            <w14:solidFill>
              <w14:schemeClr w14:val="tx1"/>
            </w14:solidFill>
          </w14:textFill>
        </w:rPr>
        <w:t>除《政府采购法》第49条、第50条第二款规定的情形外，本合同一经签订，甲乙双方不得擅自变更、中止或终止合同。合同的变更和补充追加需经开封市政府采购监督管理办公室审核备案后生效。乙方不得擅自部分或全部转让其应履行的合同义务。</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 xml:space="preserve">第十三条  不可抗力  </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1、</w:t>
      </w:r>
      <w:r>
        <w:rPr>
          <w:rFonts w:hint="eastAsia" w:ascii="宋体" w:hAnsi="宋体"/>
          <w:color w:val="000000" w:themeColor="text1"/>
          <w:kern w:val="0"/>
          <w:highlight w:val="none"/>
          <w14:textFill>
            <w14:solidFill>
              <w14:schemeClr w14:val="tx1"/>
            </w14:solidFill>
          </w14:textFill>
        </w:rPr>
        <w:t>因不可抗力造成违约的，遭受不可抗力一方应及时向对方通报不能履行或不能完全履行的理由，并在随后取得有关主管机关证明后的15日内向另一方提供不可抗力发生以及持续期间的充分证据，根据情况可部分或全部免于承担违约责任。</w:t>
      </w:r>
    </w:p>
    <w:p>
      <w:pPr>
        <w:widowControl/>
        <w:spacing w:line="360" w:lineRule="auto"/>
        <w:ind w:firstLine="420" w:firstLineChars="200"/>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本合同中的不可抗力指不能预见、不能避免并不能克服的客观情况。包括但不限于：自然灾害如地震、台风、洪水、火灾；政府行为、法律规定或其适用的其他任何无法预见、避免或者控制的事件（市场价格波动风险不在此列）。</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第十四条  争议的解决</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1、因质量问题发生争议的，应当邀请国家认可的质量检测机构进行鉴定。经鉴定符合标准的，鉴定费由甲方承担；不符合质量标准的，鉴定费由乙方承担。</w:t>
      </w:r>
    </w:p>
    <w:p>
      <w:pPr>
        <w:widowControl/>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2、因履行本合同引起的或与本合同有关的争议，甲、乙双方应首先通过友好协商解决，如果协商不能解决争议，任何一方均可以向甲方所在地有管辖权的人民法院提起诉讼。</w:t>
      </w:r>
    </w:p>
    <w:p>
      <w:pPr>
        <w:widowControl/>
        <w:spacing w:line="360" w:lineRule="auto"/>
        <w:ind w:firstLine="422" w:firstLineChars="200"/>
        <w:jc w:val="left"/>
        <w:rPr>
          <w:rFonts w:ascii="宋体" w:hAnsi="宋体"/>
          <w:b/>
          <w:bCs/>
          <w:color w:val="000000" w:themeColor="text1"/>
          <w:kern w:val="0"/>
          <w:highlight w:val="none"/>
          <w14:textFill>
            <w14:solidFill>
              <w14:schemeClr w14:val="tx1"/>
            </w14:solidFill>
          </w14:textFill>
        </w:rPr>
      </w:pPr>
      <w:r>
        <w:rPr>
          <w:rFonts w:hint="eastAsia" w:ascii="宋体" w:hAnsi="宋体"/>
          <w:b/>
          <w:bCs/>
          <w:color w:val="000000" w:themeColor="text1"/>
          <w:kern w:val="0"/>
          <w:highlight w:val="none"/>
          <w14:textFill>
            <w14:solidFill>
              <w14:schemeClr w14:val="tx1"/>
            </w14:solidFill>
          </w14:textFill>
        </w:rPr>
        <w:t>第十五条   合同生效及其他</w:t>
      </w:r>
    </w:p>
    <w:p>
      <w:pPr>
        <w:widowControl/>
        <w:spacing w:line="360" w:lineRule="auto"/>
        <w:ind w:firstLine="420" w:firstLineChars="200"/>
        <w:rPr>
          <w:rFonts w:ascii="宋体" w:hAnsi="宋体"/>
          <w:b/>
          <w:bCs/>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1、本合同未尽事宜，双方另行补充。</w:t>
      </w:r>
    </w:p>
    <w:p>
      <w:pPr>
        <w:widowControl/>
        <w:spacing w:line="360" w:lineRule="auto"/>
        <w:ind w:firstLine="420" w:firstLineChars="200"/>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2、本合同一式陆份，甲、乙双方授权代表签字并盖单位公章后生效。甲方、乙方各执贰份，开封市政府采购监督管理办公室贰份，均具有同等法律效力。</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甲    方：                  乙    方：</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单位地址：                   单位地址：</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法定代表人：                 法定代表人：</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委托代理人：                 委托代理人：</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电    话：                   电    话：</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开户银行：                   开户银行：</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账    号：                   账    号：</w:t>
      </w:r>
    </w:p>
    <w:p>
      <w:pPr>
        <w:widowControl/>
        <w:spacing w:line="360" w:lineRule="auto"/>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年月日年月日</w:t>
      </w:r>
      <w:bookmarkStart w:id="77" w:name="_Toc18963"/>
      <w:bookmarkEnd w:id="77"/>
      <w:bookmarkStart w:id="78" w:name="_Toc28255"/>
      <w:bookmarkEnd w:id="78"/>
      <w:bookmarkStart w:id="79" w:name="_Toc26883"/>
      <w:bookmarkEnd w:id="79"/>
    </w:p>
    <w:p>
      <w:pPr>
        <w:widowControl/>
        <w:spacing w:line="360" w:lineRule="auto"/>
        <w:jc w:val="left"/>
        <w:rPr>
          <w:rFonts w:ascii="宋体"/>
          <w:b/>
          <w:bCs/>
          <w:color w:val="000000" w:themeColor="text1"/>
          <w:kern w:val="0"/>
          <w:sz w:val="36"/>
          <w:szCs w:val="36"/>
          <w:highlight w:val="none"/>
          <w14:textFill>
            <w14:solidFill>
              <w14:schemeClr w14:val="tx1"/>
            </w14:solidFill>
          </w14:textFill>
        </w:rPr>
        <w:sectPr>
          <w:pgSz w:w="11906" w:h="16838"/>
          <w:pgMar w:top="1418" w:right="1134" w:bottom="1134" w:left="1134" w:header="720" w:footer="720" w:gutter="0"/>
          <w:cols w:space="720" w:num="1"/>
          <w:docGrid w:type="lines" w:linePitch="321" w:charSpace="0"/>
        </w:sectPr>
      </w:pPr>
    </w:p>
    <w:p>
      <w:pPr>
        <w:autoSpaceDE w:val="0"/>
        <w:autoSpaceDN w:val="0"/>
        <w:spacing w:line="360" w:lineRule="auto"/>
        <w:jc w:val="center"/>
        <w:outlineLvl w:val="0"/>
        <w:rPr>
          <w:rFonts w:hAnsi="仿宋_GB2312" w:cs="仿宋_GB2312"/>
          <w:color w:val="000000" w:themeColor="text1"/>
          <w:sz w:val="30"/>
          <w:szCs w:val="30"/>
          <w:highlight w:val="none"/>
          <w14:textFill>
            <w14:solidFill>
              <w14:schemeClr w14:val="tx1"/>
            </w14:solidFill>
          </w14:textFill>
        </w:rPr>
      </w:pPr>
      <w:r>
        <w:rPr>
          <w:rFonts w:hint="eastAsia" w:ascii="宋体" w:hAnsi="宋体"/>
          <w:b/>
          <w:bCs/>
          <w:color w:val="000000" w:themeColor="text1"/>
          <w:sz w:val="36"/>
          <w:szCs w:val="36"/>
          <w:highlight w:val="none"/>
          <w:lang w:val="en-US" w:eastAsia="zh-CN"/>
          <w14:textFill>
            <w14:solidFill>
              <w14:schemeClr w14:val="tx1"/>
            </w14:solidFill>
          </w14:textFill>
        </w:rPr>
        <w:t xml:space="preserve"> </w:t>
      </w:r>
      <w:bookmarkStart w:id="80" w:name="_Toc27917"/>
      <w:r>
        <w:rPr>
          <w:rFonts w:hint="eastAsia" w:ascii="宋体"/>
          <w:b/>
          <w:bCs/>
          <w:color w:val="000000" w:themeColor="text1"/>
          <w:sz w:val="36"/>
          <w:szCs w:val="36"/>
          <w:highlight w:val="none"/>
          <w14:textFill>
            <w14:solidFill>
              <w14:schemeClr w14:val="tx1"/>
            </w14:solidFill>
          </w14:textFill>
        </w:rPr>
        <w:t>第五章 采购数量及技术要求</w:t>
      </w:r>
      <w:bookmarkEnd w:id="80"/>
    </w:p>
    <w:p>
      <w:pPr>
        <w:pStyle w:val="18"/>
        <w:rPr>
          <w:color w:val="000000" w:themeColor="text1"/>
          <w:highlight w:val="none"/>
          <w14:textFill>
            <w14:solidFill>
              <w14:schemeClr w14:val="tx1"/>
            </w14:solidFill>
          </w14:textFill>
        </w:rPr>
      </w:pPr>
    </w:p>
    <w:p>
      <w:pPr>
        <w:pStyle w:val="3"/>
        <w:spacing w:before="0" w:after="0" w:line="360" w:lineRule="auto"/>
        <w:rPr>
          <w:rFonts w:ascii="宋体" w:hAnsi="宋体" w:cs="宋体"/>
          <w:bCs w:val="0"/>
          <w:color w:val="000000" w:themeColor="text1"/>
          <w:sz w:val="21"/>
          <w:szCs w:val="21"/>
          <w:highlight w:val="none"/>
          <w14:textFill>
            <w14:solidFill>
              <w14:schemeClr w14:val="tx1"/>
            </w14:solidFill>
          </w14:textFill>
        </w:rPr>
      </w:pPr>
      <w:r>
        <w:rPr>
          <w:rFonts w:hint="eastAsia" w:ascii="宋体" w:hAnsi="宋体" w:cs="宋体"/>
          <w:bCs w:val="0"/>
          <w:color w:val="000000" w:themeColor="text1"/>
          <w:sz w:val="21"/>
          <w:szCs w:val="21"/>
          <w:highlight w:val="none"/>
          <w14:textFill>
            <w14:solidFill>
              <w14:schemeClr w14:val="tx1"/>
            </w14:solidFill>
          </w14:textFill>
        </w:rPr>
        <w:t>一 工程概况</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市局情指联勤中心位于主楼4层、5层，建筑面积约</w:t>
      </w:r>
      <w:r>
        <w:rPr>
          <w:rFonts w:ascii="宋体" w:hAnsi="宋体" w:eastAsia="宋体" w:cs="宋体"/>
          <w:color w:val="000000" w:themeColor="text1"/>
          <w:sz w:val="21"/>
          <w:szCs w:val="21"/>
          <w:highlight w:val="none"/>
          <w14:textFill>
            <w14:solidFill>
              <w14:schemeClr w14:val="tx1"/>
            </w14:solidFill>
          </w14:textFill>
        </w:rPr>
        <w:t>1400</w:t>
      </w:r>
      <w:r>
        <w:rPr>
          <w:rFonts w:hint="eastAsia" w:ascii="宋体" w:hAnsi="宋体" w:eastAsia="宋体" w:cs="宋体"/>
          <w:color w:val="000000" w:themeColor="text1"/>
          <w:sz w:val="21"/>
          <w:szCs w:val="21"/>
          <w:highlight w:val="none"/>
          <w14:textFill>
            <w14:solidFill>
              <w14:schemeClr w14:val="tx1"/>
            </w14:solidFill>
          </w14:textFill>
        </w:rPr>
        <w:t>平方米。</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市局情指联勤中心主要包括指挥大厅、110接警区、情报合成区、决策室、技侦室、图侦、机房等区域。</w:t>
      </w:r>
    </w:p>
    <w:p>
      <w:pPr>
        <w:pStyle w:val="3"/>
        <w:spacing w:before="0" w:after="0" w:line="360" w:lineRule="auto"/>
        <w:rPr>
          <w:rFonts w:ascii="宋体" w:hAnsi="宋体" w:cs="宋体"/>
          <w:bCs w:val="0"/>
          <w:color w:val="000000" w:themeColor="text1"/>
          <w:sz w:val="21"/>
          <w:szCs w:val="21"/>
          <w:highlight w:val="none"/>
          <w14:textFill>
            <w14:solidFill>
              <w14:schemeClr w14:val="tx1"/>
            </w14:solidFill>
          </w14:textFill>
        </w:rPr>
      </w:pPr>
      <w:r>
        <w:rPr>
          <w:rFonts w:hint="eastAsia" w:ascii="宋体" w:hAnsi="宋体" w:cs="宋体"/>
          <w:bCs w:val="0"/>
          <w:color w:val="000000" w:themeColor="text1"/>
          <w:sz w:val="21"/>
          <w:szCs w:val="21"/>
          <w:highlight w:val="none"/>
          <w14:textFill>
            <w14:solidFill>
              <w14:schemeClr w14:val="tx1"/>
            </w14:solidFill>
          </w14:textFill>
        </w:rPr>
        <w:t>二 设计内容</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本次弱电系统设计内容包括：</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综合布线系统（含有线电视系统）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计算机网络系统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坐席管理系统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分布式综合管理系统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指挥大厅LED显示屏</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综合安防系统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智能会议系统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智能情报指挥工作仓系统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车载视频监控系统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操作席及灯带监控系统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ascii="宋体" w:hAnsi="宋体" w:eastAsia="宋体" w:cs="宋体"/>
          <w:color w:val="000000" w:themeColor="text1"/>
          <w:sz w:val="21"/>
          <w:szCs w:val="21"/>
          <w:highlight w:val="none"/>
          <w14:textFill>
            <w14:solidFill>
              <w14:schemeClr w14:val="tx1"/>
            </w14:solidFill>
          </w14:textFill>
        </w:rPr>
        <w:t>50M</w:t>
      </w:r>
      <w:r>
        <w:rPr>
          <w:rFonts w:hint="eastAsia" w:ascii="宋体" w:hAnsi="宋体" w:eastAsia="宋体" w:cs="宋体"/>
          <w:color w:val="000000" w:themeColor="text1"/>
          <w:sz w:val="21"/>
          <w:szCs w:val="21"/>
          <w:highlight w:val="none"/>
          <w14:textFill>
            <w14:solidFill>
              <w14:schemeClr w14:val="tx1"/>
            </w14:solidFill>
          </w14:textFill>
        </w:rPr>
        <w:t>对讲调度系统</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操作间工程</w:t>
      </w:r>
    </w:p>
    <w:p>
      <w:pPr>
        <w:pStyle w:val="18"/>
        <w:ind w:firstLine="42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接处警系统建设配套硬件</w:t>
      </w:r>
    </w:p>
    <w:p>
      <w:pPr>
        <w:pStyle w:val="3"/>
        <w:spacing w:before="0" w:after="0" w:line="360" w:lineRule="auto"/>
        <w:rPr>
          <w:rFonts w:ascii="宋体" w:hAnsi="宋体" w:cs="宋体"/>
          <w:bCs w:val="0"/>
          <w:color w:val="000000" w:themeColor="text1"/>
          <w:sz w:val="21"/>
          <w:szCs w:val="21"/>
          <w:highlight w:val="none"/>
          <w14:textFill>
            <w14:solidFill>
              <w14:schemeClr w14:val="tx1"/>
            </w14:solidFill>
          </w14:textFill>
        </w:rPr>
      </w:pPr>
      <w:bookmarkStart w:id="81" w:name="_Toc252838597"/>
      <w:r>
        <w:rPr>
          <w:rFonts w:hint="eastAsia" w:ascii="宋体" w:hAnsi="宋体" w:cs="宋体"/>
          <w:bCs w:val="0"/>
          <w:color w:val="000000" w:themeColor="text1"/>
          <w:sz w:val="21"/>
          <w:szCs w:val="21"/>
          <w:highlight w:val="none"/>
          <w14:textFill>
            <w14:solidFill>
              <w14:schemeClr w14:val="tx1"/>
            </w14:solidFill>
          </w14:textFill>
        </w:rPr>
        <w:t>三 技术标准和要求</w:t>
      </w:r>
      <w:bookmarkEnd w:id="81"/>
    </w:p>
    <w:p>
      <w:pPr>
        <w:spacing w:line="360" w:lineRule="auto"/>
        <w:ind w:firstLine="461"/>
        <w:rPr>
          <w:rFonts w:ascii="宋体" w:hAnsi="宋体" w:cs="宋体"/>
          <w:b/>
          <w:color w:val="000000" w:themeColor="text1"/>
          <w:szCs w:val="21"/>
          <w:highlight w:val="none"/>
          <w:lang w:val="en-GB"/>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工程施工、验收必须按国家相关标准和规范执行，在工程实施期间颁布新规范或新版本适用本工程的需遵照执行，工程技术规范包括但不限于以下内容：</w:t>
      </w:r>
      <w:r>
        <w:rPr>
          <w:rFonts w:hint="eastAsia" w:ascii="宋体" w:hAnsi="宋体" w:cs="宋体"/>
          <w:b/>
          <w:color w:val="000000" w:themeColor="text1"/>
          <w:szCs w:val="21"/>
          <w:highlight w:val="none"/>
          <w:lang w:val="en-GB"/>
          <w14:textFill>
            <w14:solidFill>
              <w14:schemeClr w14:val="tx1"/>
            </w14:solidFill>
          </w14:textFill>
        </w:rPr>
        <w:t xml:space="preserve"> </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《民用建筑电气设计规范》 JGJ 16-2008；</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《智能建筑设计标准》 GB/T 50314-2006；</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《建筑设计防火规范》 GB 50016-2014；</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《低压配电设计规范》 GB 50054-2011；</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《建筑物防雷设计规范》 GB 50057-2010；</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《建筑物电子信息系统防雷技术规范》 GB 50343-2004；</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《供配电系统设计规范》 GB 50052-2009；</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《综合布线系统工程设计规范》 GB 50311-2007；</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《电子信息系统机房设计规范》 GB 50174-2008；</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《安全防范工程技术规范》 GB 50348-2004；</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《民用闭路监视电视系统工程技术规范》 GB 50198-2011；</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《视频安防监控系统工程设计规范》 GB 50395-2007；</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《视频安防监控系统技术要求》 GA/T 367-2001；</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《民用闭路监视电视系统工程技术规范》 GB 50198-2011； </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《入侵报警系统工程设计规范》 GB 50394-2007；</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《入侵报警系统技术要求》 GA/T 368-2001；</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《出入口控制系统工程设计规范》 GB 50396-2007；</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《出入口控制系统技术要求》 GA/T 394-2002；</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《电子巡查系统技术要求》 GA/T 644-2006；</w:t>
      </w:r>
    </w:p>
    <w:p>
      <w:pPr>
        <w:numPr>
          <w:ilvl w:val="0"/>
          <w:numId w:val="6"/>
        </w:numPr>
        <w:autoSpaceDE w:val="0"/>
        <w:autoSpaceDN w:val="0"/>
        <w:adjustRightInd w:val="0"/>
        <w:spacing w:line="360" w:lineRule="auto"/>
        <w:ind w:left="902"/>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《厅堂扩声系统设计规范》 GB 50371-2006</w:t>
      </w:r>
    </w:p>
    <w:p>
      <w:pPr>
        <w:pStyle w:val="19"/>
        <w:ind w:firstLine="420"/>
        <w:rPr>
          <w:rFonts w:hAnsi="宋体" w:cs="宋体"/>
          <w:color w:val="000000" w:themeColor="text1"/>
          <w:sz w:val="21"/>
          <w:szCs w:val="21"/>
          <w:highlight w:val="none"/>
          <w:lang w:val="en-GB"/>
          <w14:textFill>
            <w14:solidFill>
              <w14:schemeClr w14:val="tx1"/>
            </w14:solidFill>
          </w14:textFill>
        </w:rPr>
      </w:pPr>
    </w:p>
    <w:p>
      <w:pPr>
        <w:pStyle w:val="3"/>
        <w:spacing w:before="0" w:after="0" w:line="360" w:lineRule="auto"/>
        <w:rPr>
          <w:rFonts w:ascii="宋体" w:hAnsi="宋体" w:cs="宋体"/>
          <w:bCs w:val="0"/>
          <w:color w:val="000000" w:themeColor="text1"/>
          <w:sz w:val="21"/>
          <w:szCs w:val="21"/>
          <w:highlight w:val="none"/>
          <w14:textFill>
            <w14:solidFill>
              <w14:schemeClr w14:val="tx1"/>
            </w14:solidFill>
          </w14:textFill>
        </w:rPr>
      </w:pPr>
      <w:r>
        <w:rPr>
          <w:rFonts w:hint="eastAsia" w:ascii="宋体" w:hAnsi="宋体" w:cs="宋体"/>
          <w:bCs w:val="0"/>
          <w:color w:val="000000" w:themeColor="text1"/>
          <w:sz w:val="21"/>
          <w:szCs w:val="21"/>
          <w:highlight w:val="none"/>
          <w14:textFill>
            <w14:solidFill>
              <w14:schemeClr w14:val="tx1"/>
            </w14:solidFill>
          </w14:textFill>
        </w:rPr>
        <w:t>三、弱电系统技术要求</w:t>
      </w:r>
    </w:p>
    <w:p>
      <w:pPr>
        <w:pStyle w:val="4"/>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3.1综合布线系统（含有线电视系统）</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3.1.1系统概述</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综合布线系统是整个智能化建设的物理链路的基础，本次设计按照甲级智能建筑设计标准进行设计，为情指联勤中心的计算机网络、语音及相关弱电系统提供传输介质、接口和高质量的传输路由。</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系统采用六类非屏蔽+光纤+大对数通讯电缆的方式。综合布线系统共计1110个信息点，89个光纤点。其中：语音251个点（均为内外线点），公安网403个点，备用152个点，视频网152个点，互联网152个。</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设备间：设备间位于二层网络机房，内设核心机柜、核心交换机及相关设备。</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管理间：设置在情指联勤中心信息机房及决策室机房，设备间内设置配线机柜。机柜内配置交换机及各类智能配线架等管理设备。</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主干子系统：</w:t>
      </w:r>
    </w:p>
    <w:p>
      <w:pPr>
        <w:autoSpaceDE w:val="0"/>
        <w:autoSpaceDN w:val="0"/>
        <w:adjustRightInd w:val="0"/>
        <w:spacing w:line="360" w:lineRule="auto"/>
        <w:ind w:firstLine="525" w:firstLineChars="25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（1）公安网、互联网、视频网由情指管理中心机房至二层网络机房到的光纤主干均采用2*24芯单模光纤；</w:t>
      </w:r>
    </w:p>
    <w:p>
      <w:pPr>
        <w:autoSpaceDE w:val="0"/>
        <w:autoSpaceDN w:val="0"/>
        <w:adjustRightInd w:val="0"/>
        <w:spacing w:line="360" w:lineRule="auto"/>
        <w:ind w:firstLine="525" w:firstLineChars="25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（2）内外线语音主干由情指管理中心至二层电话核心机房设置300对大对数电缆；</w:t>
      </w:r>
    </w:p>
    <w:p>
      <w:pPr>
        <w:autoSpaceDE w:val="0"/>
        <w:autoSpaceDN w:val="0"/>
        <w:adjustRightInd w:val="0"/>
        <w:spacing w:line="360" w:lineRule="auto"/>
        <w:ind w:firstLine="525" w:firstLineChars="25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（3）情指管理中心机房至二层技侦机房、二层网侦机房、纪要机房各敷设一根2*24芯单模光纤。</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水平子系统：由各信息插座至情指管理中心机房配线机柜的水平电缆采用六类四对非屏蔽双绞线，敷设长度不超过90米，各光纤面板至情指管理中心机房配线机柜的水平电缆采用4芯单模光纤。所有在指挥大厅内的水平线缆均沿防静电地板下桥架敷设，其他区域的水平线缆均在槽式金属桥架内敷设，槽式金属桥架在吊顶内敷设，由桥架引入工作区后，再由金属穿线管接至相关信息点，线缆敷设采用暗敷方式。</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公安网、互联网、视频网均采用智能网络配线架，内外线电话采用普通网络配线架。</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工作区子系统：</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1）综合指挥大厅：每工位4TO(公安网+互联网+视频网</w:t>
      </w:r>
      <w:r>
        <w:rPr>
          <w:rFonts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 xml:space="preserve">备用)+4TP(公安专用+内外线专用+2备用)；   </w:t>
      </w:r>
    </w:p>
    <w:p>
      <w:pPr>
        <w:autoSpaceDE w:val="0"/>
        <w:autoSpaceDN w:val="0"/>
        <w:adjustRightInd w:val="0"/>
        <w:spacing w:line="360" w:lineRule="auto"/>
        <w:ind w:firstLine="630" w:firstLineChars="3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2）技侦、网安、反诈、图侦、情报合成区：每工位4TO(公安网+互联网+视频网</w:t>
      </w:r>
      <w:r>
        <w:rPr>
          <w:rFonts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备用)+4TP(公安专用+内外线专用+2备用)；每房间2F（双口光纤面板）；</w:t>
      </w:r>
    </w:p>
    <w:p>
      <w:pPr>
        <w:autoSpaceDE w:val="0"/>
        <w:autoSpaceDN w:val="0"/>
        <w:adjustRightInd w:val="0"/>
        <w:spacing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3）110接处警区：每工位4TO(公安网+互联网+视频网</w:t>
      </w:r>
      <w:r>
        <w:rPr>
          <w:rFonts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备用)+4TP(公安专用+备用+内外线专用+备用)，并设置1个2F（双口光纤面板）；</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4）各类备勤室：每床位4TO(公安网+互联网+视频网</w:t>
      </w:r>
      <w:r>
        <w:rPr>
          <w:rFonts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备用)，每桌位4TO(公安网+互联网+视频网</w:t>
      </w:r>
      <w:r>
        <w:rPr>
          <w:rFonts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备用)+2TP(公安专用+内外线专用)；每房间2F（双口光纤面板）；</w:t>
      </w:r>
    </w:p>
    <w:p>
      <w:pPr>
        <w:autoSpaceDE w:val="0"/>
        <w:autoSpaceDN w:val="0"/>
        <w:adjustRightInd w:val="0"/>
        <w:spacing w:line="360" w:lineRule="auto"/>
        <w:ind w:firstLine="525" w:firstLineChars="25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5）各会议室预留点位4TO(公安网+互联网+视频网</w:t>
      </w:r>
      <w:r>
        <w:rPr>
          <w:rFonts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备用)+4TP(公安专用+内外线专用+2备用) ；</w:t>
      </w:r>
    </w:p>
    <w:p>
      <w:pPr>
        <w:autoSpaceDE w:val="0"/>
        <w:autoSpaceDN w:val="0"/>
        <w:adjustRightInd w:val="0"/>
        <w:spacing w:line="360" w:lineRule="auto"/>
        <w:ind w:firstLine="525" w:firstLineChars="25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6）指挥大厅每个工位设置1个双口光纤面板2F，并预留2个双口光纤面板；</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7）在指挥大厅大屏处、小会议室、内部会议室及决策室设置有线电视插座。</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kern w:val="0"/>
          <w:szCs w:val="21"/>
          <w:highlight w:val="none"/>
          <w14:textFill>
            <w14:solidFill>
              <w14:schemeClr w14:val="tx1"/>
            </w14:solidFill>
          </w14:textFill>
        </w:rPr>
        <w:t>8</w:t>
      </w:r>
      <w:r>
        <w:rPr>
          <w:rFonts w:hint="eastAsia" w:ascii="宋体" w:hAnsi="宋体" w:cs="宋体"/>
          <w:color w:val="000000" w:themeColor="text1"/>
          <w:kern w:val="0"/>
          <w:szCs w:val="21"/>
          <w:highlight w:val="none"/>
          <w14:textFill>
            <w14:solidFill>
              <w14:schemeClr w14:val="tx1"/>
            </w14:solidFill>
          </w14:textFill>
        </w:rPr>
        <w:t>）网络备用插座仅穿线至设备间机柜的智能网络配线架上，不设置交换机等网络设备。</w:t>
      </w:r>
    </w:p>
    <w:p>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3.1.2技术规格、参数及要求</w:t>
      </w:r>
    </w:p>
    <w:tbl>
      <w:tblPr>
        <w:tblStyle w:val="13"/>
        <w:tblW w:w="4946" w:type="pct"/>
        <w:tblInd w:w="0" w:type="dxa"/>
        <w:tblLayout w:type="fixed"/>
        <w:tblCellMar>
          <w:top w:w="0" w:type="dxa"/>
          <w:left w:w="108" w:type="dxa"/>
          <w:bottom w:w="0" w:type="dxa"/>
          <w:right w:w="108" w:type="dxa"/>
        </w:tblCellMar>
      </w:tblPr>
      <w:tblGrid>
        <w:gridCol w:w="530"/>
        <w:gridCol w:w="1985"/>
        <w:gridCol w:w="5960"/>
        <w:gridCol w:w="563"/>
        <w:gridCol w:w="710"/>
      </w:tblGrid>
      <w:tr>
        <w:tblPrEx>
          <w:tblCellMar>
            <w:top w:w="0" w:type="dxa"/>
            <w:left w:w="108" w:type="dxa"/>
            <w:bottom w:w="0" w:type="dxa"/>
            <w:right w:w="108" w:type="dxa"/>
          </w:tblCellMar>
        </w:tblPrEx>
        <w:tc>
          <w:tcPr>
            <w:tcW w:w="27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序号</w:t>
            </w:r>
          </w:p>
        </w:tc>
        <w:tc>
          <w:tcPr>
            <w:tcW w:w="101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设备名称</w:t>
            </w:r>
          </w:p>
        </w:tc>
        <w:tc>
          <w:tcPr>
            <w:tcW w:w="30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规格参数</w:t>
            </w:r>
          </w:p>
        </w:tc>
        <w:tc>
          <w:tcPr>
            <w:tcW w:w="28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单位</w:t>
            </w:r>
          </w:p>
        </w:tc>
        <w:tc>
          <w:tcPr>
            <w:tcW w:w="364" w:type="pct"/>
            <w:tcBorders>
              <w:top w:val="single" w:color="auto" w:sz="4" w:space="0"/>
              <w:left w:val="nil"/>
              <w:bottom w:val="single" w:color="auto" w:sz="4" w:space="0"/>
              <w:right w:val="single" w:color="auto" w:sz="4" w:space="0"/>
            </w:tcBorders>
            <w:shd w:val="clear" w:color="auto" w:fill="auto"/>
            <w:noWrap/>
            <w:vAlign w:val="center"/>
          </w:tcPr>
          <w:p>
            <w:pPr>
              <w:widowControl/>
              <w:ind w:right="462" w:rightChars="220"/>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c>
          <w:tcPr>
            <w:tcW w:w="4347" w:type="pct"/>
            <w:gridSpan w:val="3"/>
            <w:tcBorders>
              <w:top w:val="nil"/>
              <w:left w:val="single" w:color="auto" w:sz="4" w:space="0"/>
              <w:bottom w:val="single" w:color="auto" w:sz="4" w:space="0"/>
              <w:right w:val="single" w:color="auto" w:sz="4" w:space="0"/>
            </w:tcBorders>
            <w:shd w:val="clear" w:color="auto" w:fill="auto"/>
            <w:noWrap/>
            <w:vAlign w:val="center"/>
          </w:tcPr>
          <w:p>
            <w:pPr>
              <w:widowControl/>
              <w:ind w:right="4895" w:rightChars="2331"/>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一、工作区子系统</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　</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六类非屏蔽模块</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产品符合ISO/IEC 11801、ANSI/TIA-568-C.2标准中6类性能要求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标准RJ45接口设计，兼容不同类别RJ45跳线，优化PCB补偿设计方案，更高的串扰余量指标</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RJ45插槽金针：磷青铜镀金50u″</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IDC簧片：磷青铜镀锡200u″</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端接线规：22～26AWG</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插拔寿命：≥1000次</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端接寿命：≥250次</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绝缘电阻：≥500MΩ</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耐    压：1000Vdc</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接触电阻：≤20mΩ</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直流电阻：≤100mΩ</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1110</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光纤模块</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优质陶瓷套筒，高插拔寿命；精密组件，优良的光学一致性</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插入损耗：≤0.20dB、回波损耗：≥45dB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重复性：≤0.10dB、互换性：≤0.20dB</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178</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双口信息面板</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符合JB/T 8593标准和要求，兼容标准86底盒</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双层结构，螺钉隐藏安装设计，简洁美观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标准RJ45接口设计，兼容任何RJ45信息模块</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塑件部分：工程塑料</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555</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双口光纤面板</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符合JB/T 8593标准和要求，兼容标准86底盒</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双层结构，螺钉隐藏安装设计，简洁美观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标准RJ45接口设计，兼容任何RJ45信息模块</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塑件部分：工程塑料</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89</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安装底盒</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86*86</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644</w:t>
            </w:r>
          </w:p>
        </w:tc>
      </w:tr>
      <w:tr>
        <w:tblPrEx>
          <w:tblCellMar>
            <w:top w:w="0" w:type="dxa"/>
            <w:left w:w="108" w:type="dxa"/>
            <w:bottom w:w="0" w:type="dxa"/>
            <w:right w:w="108" w:type="dxa"/>
          </w:tblCellMar>
        </w:tblPrEx>
        <w:tc>
          <w:tcPr>
            <w:tcW w:w="4347" w:type="pct"/>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二、水平布线子系统</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1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六类非屏蔽双绞线</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产品符合ISO/IEC 11801、ANSI/TIA-568.2-D、IEC 61156-5标准要求  产品符合RoHS要求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导体外径：23AWG实心裸铜</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绝缘材料：HDPE</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绝缘外径：1.02±0.05mm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护套直径：6.3±0.4mm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特性阻抗：100±15Ω</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传输延迟：≤45ns/100m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    容：≤5.6nF/100m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电直流阻不平衡：≤2%</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工作温度：-20~60℃                          </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箱</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180</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1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室内单模光纤</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产品符合YD/T 1258.4、IEC 60794-2-20标准要求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优质纤芯、优良光学性能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单芯紧套结构，利于纤芯的保护</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纤芯规格：9/125um、模场直径：9±0.5um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包层直径：125±1um、包层不圆度：≤1%</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光缆截止波长：1260nm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衰    减：≤0.36(dB/km，@1310nm)  ≤0.5dB(dB/km，@1550nm)                                                  4芯</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4050</w:t>
            </w:r>
          </w:p>
        </w:tc>
      </w:tr>
      <w:tr>
        <w:tblPrEx>
          <w:tblCellMar>
            <w:top w:w="0" w:type="dxa"/>
            <w:left w:w="108" w:type="dxa"/>
            <w:bottom w:w="0" w:type="dxa"/>
            <w:right w:w="108" w:type="dxa"/>
          </w:tblCellMar>
        </w:tblPrEx>
        <w:tc>
          <w:tcPr>
            <w:tcW w:w="4347" w:type="pct"/>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三、垂直干线子系统</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1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室内单模光纤</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产品符合YD/T 1258.4、IEC 60794-2-20标准要求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优质纤芯、优良光学性能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单芯紧套结构，利于纤芯的保护</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纤芯规格：9/125um、模场直径：9±0.5um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包层直径：125±1um、包层不圆度：≤1%</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光缆截止波长：1260nm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衰    减：≤0.36(dB/km，@1310nm)  ≤0.5dB(dB/km，@1550nm)                                                  24芯</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2850</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18"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100对三类大对数电缆</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产品符合标准ISO/IEC 11801、ANSI/TIA-568-C.2要求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优质无氧铜材，良好的拉伸率和电阻特性</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导体外径：实心裸铜、绝缘外径：0.87±0.05mm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护套材料：25对PVC、护套直径：11.3±0.8mm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特性阻抗：100±15Ω、传输延迟：≤45ns/100m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    容：≤6.6nF/100m、直流电阻：≤9.5Ω</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450</w:t>
            </w:r>
          </w:p>
        </w:tc>
      </w:tr>
      <w:tr>
        <w:tblPrEx>
          <w:tblCellMar>
            <w:top w:w="0" w:type="dxa"/>
            <w:left w:w="108" w:type="dxa"/>
            <w:bottom w:w="0" w:type="dxa"/>
            <w:right w:w="108" w:type="dxa"/>
          </w:tblCellMar>
        </w:tblPrEx>
        <w:tc>
          <w:tcPr>
            <w:tcW w:w="4347" w:type="pct"/>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四、设备间子系统</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六类非屏蔽配线架</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产品符合ISO/IEC 11801、ANSI/TIA-568-C.2标准中6类性能要求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标准RJ45接口设计，兼容任何RJ45跳线</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优质冷轧钢板、表面静电喷涂，简洁美观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连接部件磷青铜材料、经久耐用</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核心PCB优化补偿设计，更高的串扰余量</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金属部分：冷轧钢板</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RJ45插槽金针：磷青铜镀金50u″</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IDC簧片：磷青铜镀锡200u″</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端接线规：22～26AWG</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插拔寿命：≥1000次</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端接寿命：≥250次</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绝缘电阻：≥500MΩ</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耐    压：1000Vdc</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接触电阻：≤20mΩ</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直流电阻：≤100mΩ</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智能六类非屏蔽配线架</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1、1U提供24个RJ45端口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2、增强型Cat6性能，提供附加余量，支持1000Mbps的网络传输应用</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3、采用标准IDC线缆连接方式</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4、支持T568A和T568B连接方式</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80</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IMU智能管理单元</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1．有源管理设备能收集配线架每个端口的信息，工作状态和物理地址；</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2．有源管理设备能分析每个端口的信息并实时将该信息上传到管理软件内；</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3．有源管理设备能提供WEBSERVER管理方式，对配线架进行分配管理；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4．有源管理设备提供标准以太网网络接口；</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r>
      <w:tr>
        <w:tblPrEx>
          <w:tblCellMar>
            <w:top w:w="0" w:type="dxa"/>
            <w:left w:w="108" w:type="dxa"/>
            <w:bottom w:w="0" w:type="dxa"/>
            <w:right w:w="108" w:type="dxa"/>
          </w:tblCellMar>
        </w:tblPrEx>
        <w:trPr>
          <w:trHeight w:val="321" w:hRule="atLeast"/>
        </w:trPr>
        <w:tc>
          <w:tcPr>
            <w:tcW w:w="272"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018"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DICS布线管理软件</w:t>
            </w:r>
          </w:p>
        </w:tc>
        <w:tc>
          <w:tcPr>
            <w:tcW w:w="3057"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1．系统链路状态的查看完全图形图像化，任何端口状态的改变也需要通过图形图像方式清晰显示，方便用户随时扑捉和察看。</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2．提供实时布线设施信息，可用于监测布线系统的移动、增加和改动过程，可自动完成布线线路勘测、创建工作单。提供布线系统完整的链路信息。</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3．图形图像化方式建立工作任务单，任何任务单的下达都通过简单的图像化方式实现，并予以确认。</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4．图形图像化直观观看配线架状态，通过颜色方便区分配线架每个端口的状态，如绿色代表端口已接通并连交换机，灰色代表未接通等。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5．重点图形均可简单通过鼠标的操作放大或者缩小，并能相应得移动，以方便用户的查阅。</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6．完整链路信息建立完成后，自动探测到在系统内正常运行的终端设备（PC、网络打印机、IP电话等），并自动将它们放在正确的端口上。一旦终端设备的端口出现变动，系统也可自动发现。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7．能建立数据库中任一数据树的相应对应关系，如房间、机柜、配线架、跳线等。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8．管理系统具备对信息点及相关设备信息的查询、定位、增加、删除、更新等功能，以及对实时事件、历史事件、报表等的自动生成、记录、检索、编辑、导出等功能。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9．能够提供完善的日志管理功能，能调用历史记录，能查询线路、设备的调整。针对智能布线系统产生的所有日志和记录可以定期实施备份， 保证历史数据可以通过布线系统进行恢复和真实再现。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10．提供系统的资产管理功能，即资产的自动统计、分析、使用率等。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11．所提供的智能布线管理系统可以管理的数量没有限制，并且方便将来的扩容。</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12．兼容平面图，并且可在平面图上通过不同的颜色和区分和显示端口的工作状态，如绿色代表该端口已开机，灰色代表该端口未开机等</w:t>
            </w:r>
          </w:p>
        </w:tc>
        <w:tc>
          <w:tcPr>
            <w:tcW w:w="289"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321" w:hRule="atLeast"/>
        </w:trPr>
        <w:tc>
          <w:tcPr>
            <w:tcW w:w="272"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101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057"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64"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272"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101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057"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64"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272"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101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057"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64"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272"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101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057"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64"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智能配线架管理电脑</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i5-8400 8G 1T+128GSSD 2G独显</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智能网络跳线</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1．第1、10两针提供用于配线架端口间连接状态的传输</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2．提供2m，3m，5m多种长度选择</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3．提供多种阻燃外护套选择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4．耐用性：500次以上插接</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5．线缆外径：4.57mm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6．触点材料：电镀50微英寸金镍的磷青铜</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7．导线：23AWG的多股铜线</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8．导体数量：4对双绞线+2芯导线</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根</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960</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IMU数据连接电缆</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1.规格：CAT6 UTP 4对标准RJ45/RJ45信息软跳线Cat6非屏蔽跳线；</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2.标准：完全符合AS/NZS 3080：2003,ISO/IEC 11801第2版2002 和ANSI/TIA/EIA-568-B系列连接硬件标准要求。</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3.线规：24AWG多芯信息软跳线；线缆带十字骨架用于分隔线对，保证跳线弯曲缠绕的情况下仍然有出色的近段串扰和远端串扰性能。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4.耐用性：可拔插750次以上；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5.触点材料：磷青铜，有50um镀金层和100um镀镍层；</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6.传输带宽：CAT6≥250MHz</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7.接触阻抗：最大为10mΩ；</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根</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85</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110配线架</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 采用100对IDC型110配线架</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 高度1U，机架式安装。</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 应满配4对或5对IDC连接模块，使系统具备稳定性、灵活性。</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 可以订购专用2U型过线槽，方便对前端跳线进行管理。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 可定制透明标签条产品，保证安装于配线架上后，配线管理信息清晰且美观。</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48芯光纤配线架</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 19寸机架式光纤配线架，高度1U</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 抽屉式设计，金属配线架，黑色</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 本次24芯LC光纤适配器。满足接续要求。</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 配线架采取模块化适配器安装孔位，可满足日后升级时使用。每个配线架最大可满足72芯LC接续。</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 适配器面板可选择LC/SC连接器</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 适配器面板需可选择12/24芯LC适配器组，并且可根据不同的接入光缆，选择对应的单模或多模的适配器组</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 支持缓冲层为250um及900um光缆的熔接</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 可配置盘绕、熔接卡盘一体化的熔接托盘，托盘可在配线架中堆叠，满足大芯数光纤接入的需求</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15</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理线架</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)水平理线器可适配于19寸机架/机柜式安装，1U高度空间，含封闭式前盖板，满足对理线功能方便与美观的要求。盖板上需喷印产品制造商的LOGO。</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2)颜色：黑色</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3)材质：钢制</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4)理线模式：水平理线(封闭式)</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5)理线方向：前方单面理线</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78</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单模光纤跳线</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产品符合YD/T 1272系列光纤活动连接器标准要求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优质陶瓷插芯，高插拔寿命，优质光纤，优良光学性能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100%测试，保证产品优越性能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插入损耗：≤0.20dB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回波损耗：≥45dB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重复性：≤0.10dB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互换性：≤0.20dB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LC-LC/2M</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条</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50</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14</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语音跳线</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符合TIA/EIA-568-B.2三类性能要求。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接口类型：1对RJ45-110原厂跳线</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耐用性：200 次插拔。</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条</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251</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15</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单模尾纤</w:t>
            </w:r>
          </w:p>
        </w:tc>
        <w:tc>
          <w:tcPr>
            <w:tcW w:w="305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产品符合YD/T 1272系列光纤活动连接器标准要求</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优质陶瓷插芯，高插拔寿命，优质光纤，优良光学性能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100%测试，保证产品优越性能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插入损耗：≤0.20dB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回波损耗：≥45dB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重复性：≤0.10dB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互换性：≤0.20dB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LC/1M</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条</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720</w:t>
            </w:r>
          </w:p>
        </w:tc>
      </w:tr>
      <w:tr>
        <w:tblPrEx>
          <w:tblCellMar>
            <w:top w:w="0" w:type="dxa"/>
            <w:left w:w="108" w:type="dxa"/>
            <w:bottom w:w="0" w:type="dxa"/>
            <w:right w:w="108" w:type="dxa"/>
          </w:tblCellMar>
        </w:tblPrEx>
        <w:tc>
          <w:tcPr>
            <w:tcW w:w="4347" w:type="pct"/>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五、桥架及线槽</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槽式金属桥架</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100*50</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25</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槽式金属桥架</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100*100</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60</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槽式金属桥架</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200*100</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95</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槽式金属桥架</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300*100</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65</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槽式金属桥架</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400*150</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20</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弱电地面线槽</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100*50</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90</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弱电地面线槽</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150*50</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45</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镀锌钢管</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JDG25</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批</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27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c>
          <w:tcPr>
            <w:tcW w:w="1018"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镀锌钢管</w:t>
            </w:r>
          </w:p>
        </w:tc>
        <w:tc>
          <w:tcPr>
            <w:tcW w:w="3057"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JDG20</w:t>
            </w:r>
          </w:p>
        </w:tc>
        <w:tc>
          <w:tcPr>
            <w:tcW w:w="289"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批</w:t>
            </w:r>
          </w:p>
        </w:tc>
        <w:tc>
          <w:tcPr>
            <w:tcW w:w="36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bl>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p>
    <w:tbl>
      <w:tblPr>
        <w:tblStyle w:val="13"/>
        <w:tblW w:w="9781" w:type="dxa"/>
        <w:tblInd w:w="-34" w:type="dxa"/>
        <w:tblLayout w:type="autofit"/>
        <w:tblCellMar>
          <w:top w:w="0" w:type="dxa"/>
          <w:left w:w="108" w:type="dxa"/>
          <w:bottom w:w="0" w:type="dxa"/>
          <w:right w:w="108" w:type="dxa"/>
        </w:tblCellMar>
      </w:tblPr>
      <w:tblGrid>
        <w:gridCol w:w="568"/>
        <w:gridCol w:w="1859"/>
        <w:gridCol w:w="6079"/>
        <w:gridCol w:w="567"/>
        <w:gridCol w:w="708"/>
      </w:tblGrid>
      <w:tr>
        <w:tblPrEx>
          <w:tblCellMar>
            <w:top w:w="0" w:type="dxa"/>
            <w:left w:w="108" w:type="dxa"/>
            <w:bottom w:w="0" w:type="dxa"/>
            <w:right w:w="108" w:type="dxa"/>
          </w:tblCellMar>
        </w:tblPrEx>
        <w:trPr>
          <w:trHeight w:val="600" w:hRule="atLeast"/>
        </w:trPr>
        <w:tc>
          <w:tcPr>
            <w:tcW w:w="56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序号</w:t>
            </w:r>
          </w:p>
        </w:tc>
        <w:tc>
          <w:tcPr>
            <w:tcW w:w="1859"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设备名称</w:t>
            </w:r>
          </w:p>
        </w:tc>
        <w:tc>
          <w:tcPr>
            <w:tcW w:w="6079"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规格参数</w:t>
            </w:r>
          </w:p>
        </w:tc>
        <w:tc>
          <w:tcPr>
            <w:tcW w:w="567"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单位</w:t>
            </w:r>
          </w:p>
        </w:tc>
        <w:tc>
          <w:tcPr>
            <w:tcW w:w="708"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8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有线电视插座</w:t>
            </w:r>
          </w:p>
        </w:tc>
        <w:tc>
          <w:tcPr>
            <w:tcW w:w="607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75Ω接口，隔离度大于22dB</w:t>
            </w:r>
          </w:p>
        </w:tc>
        <w:tc>
          <w:tcPr>
            <w:tcW w:w="56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7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8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分支器箱</w:t>
            </w:r>
          </w:p>
        </w:tc>
        <w:tc>
          <w:tcPr>
            <w:tcW w:w="607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400*300*120</w:t>
            </w:r>
          </w:p>
        </w:tc>
        <w:tc>
          <w:tcPr>
            <w:tcW w:w="56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7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8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四分支器</w:t>
            </w:r>
          </w:p>
        </w:tc>
        <w:tc>
          <w:tcPr>
            <w:tcW w:w="607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屏蔽度：5-1000MHz≥100dB</w:t>
            </w:r>
          </w:p>
        </w:tc>
        <w:tc>
          <w:tcPr>
            <w:tcW w:w="56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7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8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终端电阻</w:t>
            </w:r>
          </w:p>
        </w:tc>
        <w:tc>
          <w:tcPr>
            <w:tcW w:w="607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75Ω</w:t>
            </w:r>
          </w:p>
        </w:tc>
        <w:tc>
          <w:tcPr>
            <w:tcW w:w="56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7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8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有线电视线缆</w:t>
            </w:r>
          </w:p>
        </w:tc>
        <w:tc>
          <w:tcPr>
            <w:tcW w:w="607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　</w:t>
            </w:r>
          </w:p>
        </w:tc>
        <w:tc>
          <w:tcPr>
            <w:tcW w:w="56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批</w:t>
            </w:r>
          </w:p>
        </w:tc>
        <w:tc>
          <w:tcPr>
            <w:tcW w:w="7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bl>
    <w:p>
      <w:pPr>
        <w:pStyle w:val="4"/>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3.2 计算机网络系统</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3.2.1系统概述</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根据本建筑计算机网络系统的特点和需求，计算机网络系统采用交换式以太网技术及星型的网络架构。为公安网、互联网、专网、视频网各配置一套独立的计算机网络系统，计算机网络系统由核心层和接入层、汇聚层交换机组成。</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公安网、互联网、视频网核心层交换机设在二层网络机房。</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在指挥大厅机房设置接入交换机，通过光纤主干将接入交换机与核心交换机连接。传输链路采用计算机-双绞线-接入交换机-光纤-核心（或汇聚）交换机。</w:t>
      </w:r>
    </w:p>
    <w:p>
      <w:pPr>
        <w:autoSpaceDE w:val="0"/>
        <w:autoSpaceDN w:val="0"/>
        <w:adjustRightInd w:val="0"/>
        <w:spacing w:line="360" w:lineRule="auto"/>
        <w:ind w:firstLine="315" w:firstLineChars="15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1）.系统由3个相互独立的网络系统组成（公安网、互联网、视频网）。</w:t>
      </w:r>
    </w:p>
    <w:p>
      <w:pPr>
        <w:autoSpaceDE w:val="0"/>
        <w:autoSpaceDN w:val="0"/>
        <w:adjustRightInd w:val="0"/>
        <w:spacing w:line="360" w:lineRule="auto"/>
        <w:ind w:firstLine="315" w:firstLineChars="15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2）.所有网络系统采用千兆接入、千兆上连核心层（或汇聚层，链路冗余，可扩展至万兆），接入层交换机采用可堆叠交换机，接入无线AP的交换机采用可POE供电的接入交换机。</w:t>
      </w:r>
    </w:p>
    <w:p>
      <w:pPr>
        <w:autoSpaceDE w:val="0"/>
        <w:autoSpaceDN w:val="0"/>
        <w:adjustRightIn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3）公安网、互联网、视频网采用双核心双链接的联路方式 。   </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3.2.2技术规格、参数及要求</w:t>
      </w:r>
    </w:p>
    <w:tbl>
      <w:tblPr>
        <w:tblStyle w:val="13"/>
        <w:tblW w:w="0" w:type="auto"/>
        <w:tblInd w:w="93" w:type="dxa"/>
        <w:tblLayout w:type="fixed"/>
        <w:tblCellMar>
          <w:top w:w="0" w:type="dxa"/>
          <w:left w:w="108" w:type="dxa"/>
          <w:bottom w:w="0" w:type="dxa"/>
          <w:right w:w="108" w:type="dxa"/>
        </w:tblCellMar>
      </w:tblPr>
      <w:tblGrid>
        <w:gridCol w:w="724"/>
        <w:gridCol w:w="2607"/>
        <w:gridCol w:w="5464"/>
        <w:gridCol w:w="483"/>
        <w:gridCol w:w="483"/>
      </w:tblGrid>
      <w:tr>
        <w:tblPrEx>
          <w:tblCellMar>
            <w:top w:w="0" w:type="dxa"/>
            <w:left w:w="108" w:type="dxa"/>
            <w:bottom w:w="0" w:type="dxa"/>
            <w:right w:w="108" w:type="dxa"/>
          </w:tblCellMar>
        </w:tblPrEx>
        <w:trPr>
          <w:trHeight w:val="402" w:hRule="atLeast"/>
        </w:trPr>
        <w:tc>
          <w:tcPr>
            <w:tcW w:w="7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序号</w:t>
            </w:r>
          </w:p>
        </w:tc>
        <w:tc>
          <w:tcPr>
            <w:tcW w:w="260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设备名称</w:t>
            </w:r>
          </w:p>
        </w:tc>
        <w:tc>
          <w:tcPr>
            <w:tcW w:w="546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规格参数</w:t>
            </w:r>
          </w:p>
        </w:tc>
        <w:tc>
          <w:tcPr>
            <w:tcW w:w="4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w:t>
            </w:r>
          </w:p>
        </w:tc>
        <w:tc>
          <w:tcPr>
            <w:tcW w:w="4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rPr>
          <w:trHeight w:val="450" w:hRule="atLeast"/>
        </w:trPr>
        <w:tc>
          <w:tcPr>
            <w:tcW w:w="333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一、公安网网络设备</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551"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24口汇聚交换机</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1、交换容量≥590Gbps，包转发率≥222Mpps；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2、千兆电口≥24个，千兆光电复用口≥8个；万兆光口≥4个,扩展槽位≥1个,支持模块化双电源；模块化双风扇；单台实配双电源，双风扇</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3、支持二层VxLAN；支持三层VxLAN；支持EVPN；</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4、支持IPv4和IPv6环境下的策略路由；支持IPv6手动隧道、6to4隧道和ISATAP隧道；支持VRRPv2/v3（虚拟路由冗余协议)；支持RRPP（快速环网保护协议），环网故障恢复时间不超过200ms；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5、内置网管平台，实现整网拓扑可视，实现在网络设备上对整网交换机的统一管理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6、支持安全插卡功能，并通过设备流量测试可以引向安全插卡，经过安全插卡后流量正常转发；</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7、支持10KV业务端口防雷能力，在恶劣的工作环境中能极大的减少雷击对设备的破坏；</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55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48口交换机</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1、交换容量≥330Gbps，包转发率≥87Mpps；（如果官方网站公布有多个参考值，以最小值为准）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2、接口类型：千兆电口≥48个，千兆光口≥4个；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3、路由协议：支持IPv4静态路由、RIP V1/V2、OSPF，支持IPv6静态路由、RIPng；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4、堆叠特性：支持堆叠链路负载分担和冗余功能，最大堆叠台数≥9台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5、访问控制策略：支持基于第二层、第三层和第四层的ACL；整机提供ACl条目数不小于1K条；支持基于端口和VLAN的 ACL；支持IPv6 ACL；支持出方向ACL，以便于灵活实现数据包过滤；支持802.1x认证，支持集中式MAC地址认证；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6、ERPS：实现ERPS功能，能够快速阻断环路，链路收敛时间≤50ms；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7、绿色节能：符合IEEE 802.3az（EEE）节能标准；支持端口定时down功能；支持端口休眠，关闭没有应用的端口，节省能源</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r>
      <w:tr>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千兆单模光纤模块</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1、千兆10公里单模光纤模块（1310nm，LC）</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36</w:t>
            </w:r>
          </w:p>
        </w:tc>
      </w:tr>
      <w:tr>
        <w:tblPrEx>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万兆单模光纤模块</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2、万兆10公里单模光纤模块（1310nm，LC）</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万兆堆叠线</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3、SFP+电缆0.65m</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条</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402" w:hRule="atLeast"/>
        </w:trPr>
        <w:tc>
          <w:tcPr>
            <w:tcW w:w="333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二、互联网网络设备</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rPr>
          <w:trHeight w:val="1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24口汇聚交换机</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1、交换容量≥590Gbps，包转发率≥222Mpps；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2、千兆电口≥24个，千兆光电复用口≥8个；万兆光口≥4个,扩展槽位≥1个,支持模块化双电源；模块化双风扇；单台实配双电源，双风扇</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3、支持二层VxLAN；支持三层VxLAN；支持EVPN；</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4、支持IPv4和IPv6环境下的策略路由；支持IPv6手动隧道、6to4隧道和ISATAP隧道；支持VRRPv2/v3（虚拟路由冗余协议)；支持RRPP（快速环网保护协议），环网故障恢复时间不超过200ms；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5、内置网管平台，实现整网拓扑可视，实现在网络设备上对整网交换机的统一管理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6、支持安全插卡功能，并通过设备流量测试可以引向安全插卡，经过安全插卡后流量正常转发；</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7、支持10KV业务端口防雷能力，在恶劣的工作环境中能极大的减少雷击对设备的破坏；</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2970"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48口交换机</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1、交换容量≥330Gbps，包转发率≥87Mpps；（如果官方网站公布有多个参考值，以最小值为准）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2、接口类型：千兆电口≥48个，千兆光口≥4个；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3、路由协议：支持IPv4静态路由、RIP V1/V2、OSPF，支持IPv6静态路由、RIPng；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4、堆叠特性：支持堆叠链路负载分担和冗余功能，最大堆叠台数≥9台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5、访问控制策略：支持基于第二层、第三层和第四层的ACL；整机提供ACl条目数不小于1K条；支持基于端口和VLAN的 ACL；支持IPv6 ACL；支持出方向ACL，以便于灵活实现数据包过滤；支持802.1x认证，支持集中式MAC地址认证；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6、ERPS：实现ERPS功能，能够快速阻断环路，链路收敛时间≤50ms；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7、绿色节能：符合IEEE 802.3az（EEE）节能标准；支持端口定时down功能；支持端口休眠，关闭没有应用的端口，节省能源</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rPr>
          <w:trHeight w:val="1544"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24口交换机</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1、交换容量≥330Gbps，包转发率≥51Mpps；（如果官方网站公布有多个参考值，以最小值为准）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2、接口类型：千兆电口≥24个，千兆光口≥4个；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3、VLAN特性：支持基于端口的VLAN，支持基于协议的VLAN；支持基于MAC的VLAN；最大VLAN数(不是VLAN ID)≥4094；</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4、路由协议：支持IPv4静态路由、RIP V1/V2、OSPF，支持IPv6静态路由、RIPng；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5、镜像功能：支持本地端口镜像和远程端口镜像RSPAN；支持流镜像；同时支持N：M的端口镜像（M大于1）；</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6、访问控制策略：支持基于第二层、第三层和第四层的ACL；整机提供ACl条目数不小于1K条；支持基于端口和VLAN的 ACL；</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7、CPU保护功能：实现CPU保护功能，能限制非法报文对CPU的攻击，保护交换机在各种环境下稳定工作；</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千兆单模光纤模块</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1、千兆10公里单模光纤模块（1310nm，LC）</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w:t>
            </w:r>
          </w:p>
        </w:tc>
      </w:tr>
      <w:tr>
        <w:tblPrEx>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万千兆单模光纤模块</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1、万兆10公里单模光纤模块（1310nm，LC）</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270"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万兆堆叠线</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1、SFP+电缆0.65m</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条</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270" w:hRule="atLeast"/>
        </w:trPr>
        <w:tc>
          <w:tcPr>
            <w:tcW w:w="333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三、视频网网络设备</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693"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24口汇聚交换机</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1、交换容量≥590Gbps，包转发率≥222Mpps；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2、千兆电口≥24个，千兆光电复用口≥8个；万兆光口≥4个,扩展槽位≥1个,支持模块化双电源；模块化双风扇；单台实配双电源，双风扇</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3、支持二层VxLAN；支持三层VxLAN；支持EVPN；</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4、支持IPv4和IPv6环境下的策略路由；支持IPv6手动隧道、6to4隧道和ISATAP隧道；支持VRRPv2/v3（虚拟路由冗余协议)；支持RRPP（快速环网保护协议），环网故障恢复时间不超过200ms；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5、内置网管平台，实现整网拓扑可视，实现在网络设备上对整网交换机的统一管理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6、支持安全插卡功能，并通过设备流量测试可以引向安全插卡，经过安全插卡后流量正常转发；</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7、支持10KV业务端口防雷能力，在恶劣的工作环境中能极大的减少雷击对设备的破坏；</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rPr>
          <w:trHeight w:val="2394"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48口交换机</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1、交换容量≥330Gbps，包转发率≥87Mpps；（如果官方网站公布有多个参考值，以最小值为准）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2、接口类型：千兆电口≥48个，千兆光口≥4个；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3、路由协议：支持IPv4静态路由、RIP V1/V2、OSPF，支持IPv6静态路由、RIPng；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4、堆叠特性：支持堆叠链路负载分担和冗余功能，最大堆叠台数≥9台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5、访问控制策略：支持基于第二层、第三层和第四层的ACL；整机提供ACl条目数不小于1K条；支持基于端口和VLAN的 ACL；支持IPv6 ACL；支持出方向ACL，以便于灵活实现数据包过滤；支持802.1x认证，支持集中式MAC地址认证；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6、ERPS：实现ERPS功能，能够快速阻断环路，链路收敛时间≤50ms；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7、绿色节能：符合IEEE 802.3az（EEE）节能标准；支持端口定时down功能；支持端口休眠，关闭没有应用的端口，节省能源</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blPrEx>
          <w:tblCellMar>
            <w:top w:w="0" w:type="dxa"/>
            <w:left w:w="108" w:type="dxa"/>
            <w:bottom w:w="0" w:type="dxa"/>
            <w:right w:w="108" w:type="dxa"/>
          </w:tblCellMar>
        </w:tblPrEx>
        <w:trPr>
          <w:trHeight w:val="1686"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24口交换机</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1、交换容量≥330Gbps，包转发率≥51Mpps；（如果官方网站公布有多个参考值，以最小值为准）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2、接口类型：千兆电口≥24个，千兆光口≥4个；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3、VLAN特性：支持基于端口的VLAN，支持基于协议的VLAN；支持基于MAC的VLAN；最大VLAN数(不是VLAN ID)≥4094；</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4、路由协议：支持IPv4静态路由、RIP V1/V2、OSPF，支持IPv6静态路由、RIPng；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5、镜像功能：支持本地端口镜像和远程端口镜像RSPAN；支持流镜像；同时支持N：M的端口镜像（M大于1）；</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6、访问控制策略：支持基于第二层、第三层和第四层的ACL；整机提供ACl条目数不小于1K条；支持基于端口和VLAN的 ACL；</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7、CPU保护功能：实现CPU保护功能，能限制非法报文对CPU的攻击，保护交换机在各种环境下稳定工作；</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千兆单模光纤模块</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1、千兆10公里单模光纤模块（1310nm，LC）</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w:t>
            </w:r>
          </w:p>
        </w:tc>
      </w:tr>
      <w:tr>
        <w:tblPrEx>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万千兆单模光纤模块</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1、万兆10公里单模光纤模块（1310nm，LC）</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270"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万兆堆叠线</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1、SFP+电缆0.65m</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条</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693"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26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安全隔离网闸</w:t>
            </w:r>
          </w:p>
        </w:tc>
        <w:tc>
          <w:tcPr>
            <w:tcW w:w="54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标准2U机箱；本次配置病毒检测、文件交换、数据库同步、数据库访问、安全浏览、FTP访问、邮件传输、定制访问、流媒体传输模块；</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内、外网主机系统分别采用冗余双系统启动模式，当A系统运行失败后，能从B系统启动，且A、B系统可互为备份；提供公安部《计算机信息系统安全专用产品销售许可证》。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内网接口：标配1个10/100/1000M Base-TX网络接口，1个10/100/1000M Base-TX管理口，1个10/100/1000M Base-TX HA接口（双机热备口）。2个SFP扩展插槽，3个10/100/1000M Base-TX扩展接口。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外网接口：标配1个10/100/1000M Base-TX网络接口，3个10/100/1000M Base-TX扩展接口，1个10/100/1000M Base-TX管理口，1个10/100/1000M Base-TX HA接口（双机热备口）。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内外网主机系统分别具有1个RJ45串口；支持配置文件以加密方式导出。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系统吞吐量不小于800Mbps;并发连接数不小于2万;延时小于1ms；</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bl>
    <w:p>
      <w:pPr>
        <w:autoSpaceDE w:val="0"/>
        <w:autoSpaceDN w:val="0"/>
        <w:adjustRightInd w:val="0"/>
        <w:spacing w:line="360" w:lineRule="auto"/>
        <w:jc w:val="left"/>
        <w:rPr>
          <w:rFonts w:ascii="宋体" w:hAnsi="宋体" w:cs="宋体"/>
          <w:color w:val="000000" w:themeColor="text1"/>
          <w:kern w:val="0"/>
          <w:szCs w:val="21"/>
          <w:highlight w:val="none"/>
          <w14:textFill>
            <w14:solidFill>
              <w14:schemeClr w14:val="tx1"/>
            </w14:solidFill>
          </w14:textFill>
        </w:rPr>
      </w:pPr>
    </w:p>
    <w:p>
      <w:pPr>
        <w:pStyle w:val="4"/>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3.3 坐席管理系统</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3.3.1系统概述</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次在110接警区、指挥大厅内、技侦、网安、反诈、图侦、合成作战等处设置坐席管理系统，共计51个席位。在指挥大厅内预留2个光纤接入点。席位人员的51台电脑的视频信号、USB信号通过光纤坐席节点转换成光纤信号接入坐席综合管理平台，然后切换输出51路光纤信号至各个席位的用户端，用户端将信号还原成高清视频信号、USB信号，席位人员可通过键盘、鼠标、显示器进行可视化操控，并且在权限范围内可以进行信号切换、鼠标滑屏、信号推送等功能。</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指挥中心视频会议、大厅视频会议摄像机、MCU信号、笔记本等视频信号需要显示在LED大屏上，坐席管理平台不仅实现对坐席的管理也实现本地视频信号的采集，把需要上屏显示的信号推送给分布式系统来显示到LED大屏上</w:t>
      </w:r>
    </w:p>
    <w:p>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坐席管理系统作用：</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1.资源整合：把需要坐席的业务主机统一接入到坐席控制系统，实现信号的统一整合。</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2.坐席管理：坐席的控制主机统一放机房，通过坐席控制终端把主机的音视频信号，控制信号和USB信号统一接管过来，USB信号直接通过坐席终端实现控制。</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3.坐席终端分配：按照现在有的请指联勤中心各部门的分配把110接警区、合成作战区、技帧网安、反诈、指挥大厅及会议室按照需求把点位预留好。</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4.权限划分：按照110接警区、合成作战区、技帧网安、反诈、指挥大厅、及会议室现有的坐席终端席位按照职能和功能分配控制资源，实现资源相互配合协作。</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5.与分布式综合管理平台对接，把需要投送到大屏显示的内容推送给分布式综合管理平台。</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6.分组管理按照部门划分好的权限，根据分工的不同来划分权限，保证不同组别的操作人员权限不同，相同组别的人员操作权限相同。</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坐席管理设置原则：</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1、110接警区：第一排设置2个一机三屏坐席系统、做人机分离，其余工位预留光纤面板，设置一机三屏桌面终端。</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2、情报合成区： 情报席10个座位，设2个一机单屏坐席系统，做人机分离；合成席10个座位，设2个一机单屏坐席系统，做人机分离；其余工位仅做综合布线，设置一机单屏桌面终端。</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3、反诈、图侦：各上2个一机单屏坐席系统，其余工位仅做综合布线，设置一机单屏桌面终端。</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4、技侦、网安：各上2个一机双屏坐席系统，其余工位仅做综合布线，设置一机双屏桌面终端。</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5、指挥大厅：大厅所有席位采用双屏坐席；</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第一排10个席位，部署超高分操作席，控制席、指挥席；</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第二排6个席位，前两排坐席接入坐席管理系统；</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中间领导席不需要接坐席管理系统；仅预留光纤面板；</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后面2排14个坐席上4个坐席管理系统，每排设一个坐席，做人机分离；</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其余工位仅预留光纤面板，设置一机双屏桌面终端；</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给大屏输出28路信号接入坐席管理系统。</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6、内部会议室：设一个一机单屏坐席调度席，；</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7、决策室：设两个一机单屏坐席调度席；安装再北侧靠大屏位置，通过与无纸化会议系统对接实现显示及控制</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3.2.2技术规格、参数及要求</w:t>
      </w:r>
    </w:p>
    <w:tbl>
      <w:tblPr>
        <w:tblStyle w:val="13"/>
        <w:tblW w:w="9796" w:type="dxa"/>
        <w:tblInd w:w="93" w:type="dxa"/>
        <w:tblLayout w:type="fixed"/>
        <w:tblCellMar>
          <w:top w:w="0" w:type="dxa"/>
          <w:left w:w="108" w:type="dxa"/>
          <w:bottom w:w="0" w:type="dxa"/>
          <w:right w:w="108" w:type="dxa"/>
        </w:tblCellMar>
      </w:tblPr>
      <w:tblGrid>
        <w:gridCol w:w="582"/>
        <w:gridCol w:w="1560"/>
        <w:gridCol w:w="6520"/>
        <w:gridCol w:w="425"/>
        <w:gridCol w:w="709"/>
      </w:tblGrid>
      <w:tr>
        <w:tblPrEx>
          <w:tblCellMar>
            <w:top w:w="0" w:type="dxa"/>
            <w:left w:w="108" w:type="dxa"/>
            <w:bottom w:w="0" w:type="dxa"/>
            <w:right w:w="108" w:type="dxa"/>
          </w:tblCellMar>
        </w:tblPrEx>
        <w:trPr>
          <w:trHeight w:val="402" w:hRule="atLeast"/>
        </w:trPr>
        <w:tc>
          <w:tcPr>
            <w:tcW w:w="582"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bCs/>
                <w:color w:val="000000" w:themeColor="text1"/>
                <w:kern w:val="0"/>
                <w:szCs w:val="21"/>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t>序号</w:t>
            </w:r>
          </w:p>
        </w:tc>
        <w:tc>
          <w:tcPr>
            <w:tcW w:w="1560"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bCs/>
                <w:color w:val="000000" w:themeColor="text1"/>
                <w:kern w:val="0"/>
                <w:szCs w:val="21"/>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t>设备名称</w:t>
            </w:r>
          </w:p>
        </w:tc>
        <w:tc>
          <w:tcPr>
            <w:tcW w:w="6520"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bCs/>
                <w:color w:val="000000" w:themeColor="text1"/>
                <w:kern w:val="0"/>
                <w:szCs w:val="21"/>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t>规格参数</w:t>
            </w:r>
          </w:p>
        </w:tc>
        <w:tc>
          <w:tcPr>
            <w:tcW w:w="425"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bCs/>
                <w:color w:val="000000" w:themeColor="text1"/>
                <w:kern w:val="0"/>
                <w:szCs w:val="21"/>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t>单位</w:t>
            </w:r>
          </w:p>
        </w:tc>
        <w:tc>
          <w:tcPr>
            <w:tcW w:w="709"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bCs/>
                <w:color w:val="000000" w:themeColor="text1"/>
                <w:kern w:val="0"/>
                <w:szCs w:val="21"/>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rPr>
          <w:trHeight w:val="1260" w:hRule="atLeast"/>
        </w:trPr>
        <w:tc>
          <w:tcPr>
            <w:tcW w:w="582" w:type="dxa"/>
            <w:vMerge w:val="restart"/>
            <w:tcBorders>
              <w:top w:val="nil"/>
              <w:left w:val="single" w:color="auto" w:sz="4" w:space="0"/>
              <w:bottom w:val="single" w:color="000000"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560" w:type="dxa"/>
            <w:vMerge w:val="restart"/>
            <w:tcBorders>
              <w:top w:val="nil"/>
              <w:left w:val="single" w:color="auto" w:sz="4" w:space="0"/>
              <w:bottom w:val="single" w:color="000000"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KVM坐席拼控管理主机</w:t>
            </w:r>
          </w:p>
        </w:tc>
        <w:tc>
          <w:tcPr>
            <w:tcW w:w="6520" w:type="dxa"/>
            <w:vMerge w:val="restart"/>
            <w:tcBorders>
              <w:top w:val="single" w:color="auto" w:sz="4" w:space="0"/>
              <w:left w:val="single" w:color="auto" w:sz="4" w:space="0"/>
              <w:bottom w:val="single" w:color="000000" w:sz="4" w:space="0"/>
              <w:right w:val="single" w:color="auto" w:sz="4" w:space="0"/>
            </w:tcBorders>
            <w:shd w:val="clear" w:color="auto" w:fill="FFFFFF"/>
            <w:vAlign w:val="center"/>
          </w:tcPr>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1.设备采用纯硬件架构，完全不占据系统资源，且无需操作系统，完全杜绝IT病毒侵扰、黑客攻击，确保高度的安全和保密性；</w:t>
            </w:r>
          </w:p>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2.要求配置1台单体设备通道数在300路以上的光纤KVM坐席拼控管理主机；</w:t>
            </w:r>
          </w:p>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shd w:val="clear" w:color="auto" w:fill="FFFFFF" w:themeFill="background1"/>
                <w14:textFill>
                  <w14:solidFill>
                    <w14:schemeClr w14:val="tx1"/>
                  </w14:solidFill>
                </w14:textFill>
              </w:rPr>
              <w:t>3.从</w:t>
            </w:r>
            <w:r>
              <w:rPr>
                <w:rFonts w:hint="eastAsia" w:ascii="宋体" w:hAnsi="宋体" w:cs="宋体"/>
                <w:color w:val="000000" w:themeColor="text1"/>
                <w:szCs w:val="21"/>
                <w:highlight w:val="none"/>
                <w:shd w:val="clear" w:color="auto" w:fill="FFFFFF" w:themeFill="background1"/>
                <w14:textFill>
                  <w14:solidFill>
                    <w14:schemeClr w14:val="tx1"/>
                  </w14:solidFill>
                </w14:textFill>
              </w:rPr>
              <w:t>系统的安全性考虑，平台须采用非TCP/IP协议方式传输，要求采用非交换机的闭环式全光引擎架构，无需占用现有的网络资源，并把数据业务信息和管理控制信息完全剥离，通过专用物理信道承载管理控制信息，防止病毒感染、黑客攻击，防雷击、过载、断电和人为破坏，确保具有高度的安全和保密性；</w:t>
            </w:r>
          </w:p>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4.通过一套鼠标键盘可实现多个系统业务电脑系统得控制，如：windows  Linux等系统实现跨网段 跨系统极速编辑操作；提供CMA或CNAS认可的第三方检测机构出具的检测报告复印件并加盖原厂公章；</w:t>
            </w:r>
          </w:p>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5.主机具备端口出现故障时，系统实现在线冗余端口数据信号快速恢复；</w:t>
            </w:r>
          </w:p>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6.具备大屏拼接处理功能功能，实现大屏幕显示规模、显示分辨率、开窗、替换、缩放、漫游、移动、关窗、平铺、全屏、叠加、显示模式的执行操作场景；</w:t>
            </w:r>
          </w:p>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7.支持第三方中控控制、键盘及OSD控制；</w:t>
            </w:r>
          </w:p>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系统实现全中文界面，有分组检索、中文一键预案处理功能，功能强大、操作简单。</w:t>
            </w:r>
          </w:p>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8.坐席上可调取监控信号，实现业务人员通过坐席调取查看监控信号</w:t>
            </w:r>
          </w:p>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9.支持本地坐席通过KVM主机，实现与远端电脑主机的数据透传，可支持U盘，UKey,CA认证，移动硬盘、移动光驱等USB外设的使用；提供CMA或CNAS认可的第三方检测机构出具的检测报告复印件并加盖原厂公章；</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10. 考虑系统抗干扰性能，光纤KVM坐席协作拼控管理主机所有端口须光口，即通过光纤远距离传输各类信号如：HDMI、DVI、键鼠、音频、RS232等信号；</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11.系统支持中文系统拓扑图连接状态，可记录设备连接状态、端口状态等运维管理信息。</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12.不同坐席终端使用本地键盘，实现通过自定义热键或其他方式一键抓取到本地屏幕图像或一键推送上大屏，同时实现键盘实时操作；</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13．具备用户权限和管控端权限，为不同坐席及用户分配对应的操控、调用权限，以确保协同流程的通畅和系统的控制安全，满足各个工作职位的控制、分组分权限管理的要求；</w:t>
            </w:r>
          </w:p>
          <w:p>
            <w:pPr>
              <w:pStyle w:val="19"/>
              <w:ind w:firstLine="174" w:firstLineChars="83"/>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14.通过ISO9001质量管理体系、产品符合CE认证、FCC认证并提供认证证书复印件;</w:t>
            </w:r>
          </w:p>
          <w:p>
            <w:pPr>
              <w:pStyle w:val="19"/>
              <w:ind w:firstLine="174" w:firstLineChars="83"/>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kern w:val="0"/>
                <w:sz w:val="21"/>
                <w:szCs w:val="21"/>
                <w:highlight w:val="none"/>
                <w14:textFill>
                  <w14:solidFill>
                    <w14:schemeClr w14:val="tx1"/>
                  </w14:solidFill>
                </w14:textFill>
              </w:rPr>
              <w:t>★</w:t>
            </w:r>
            <w:r>
              <w:rPr>
                <w:rFonts w:hint="eastAsia" w:hAnsi="宋体" w:cs="宋体"/>
                <w:color w:val="000000" w:themeColor="text1"/>
                <w:sz w:val="21"/>
                <w:szCs w:val="21"/>
                <w:highlight w:val="none"/>
                <w14:textFill>
                  <w14:solidFill>
                    <w14:schemeClr w14:val="tx1"/>
                  </w14:solidFill>
                </w14:textFill>
              </w:rPr>
              <w:t>15.投标人所提供的光纤KVM坐席协作管理平台，须具备坐席协作平台设备提供商要提供近三年产品业绩：至少2个200路以上通道的坐席协作管理系统产品的应用案例，供货合同复印件加盖厂家公章。</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16.具有RS-232 或RJ45通讯接口为第三方连接控制。支持第三方中控控制、键盘及OSD控制；</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17.系统支持接入端&amp;管控端的USB2.0接口控制功能，确保USB2.0传输数据安全可控；</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18．支持多人在线协作编辑；</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19.支持坐席即时通讯功能，坐席协作体验大幅提升。</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20．具有切换即时，切换调取无延时无黑屏及无延迟预案调取功能。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21.主机设备须提供CMA或CNAS认可的第三方检测机构出具的检测报告复印件并加盖原厂公章</w:t>
            </w:r>
          </w:p>
        </w:tc>
        <w:tc>
          <w:tcPr>
            <w:tcW w:w="425" w:type="dxa"/>
            <w:tcBorders>
              <w:top w:val="single" w:color="auto" w:sz="4" w:space="0"/>
              <w:left w:val="nil"/>
              <w:right w:val="single" w:color="auto" w:sz="4" w:space="0"/>
            </w:tcBorders>
            <w:shd w:val="clear" w:color="auto"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p>
            <w:pPr>
              <w:widowControl/>
              <w:jc w:val="center"/>
              <w:rPr>
                <w:rFonts w:ascii="宋体" w:hAnsi="宋体" w:cs="宋体"/>
                <w:color w:val="000000" w:themeColor="text1"/>
                <w:kern w:val="0"/>
                <w:szCs w:val="21"/>
                <w:highlight w:val="none"/>
                <w14:textFill>
                  <w14:solidFill>
                    <w14:schemeClr w14:val="tx1"/>
                  </w14:solidFill>
                </w14:textFill>
              </w:rPr>
            </w:pPr>
          </w:p>
          <w:p>
            <w:pPr>
              <w:jc w:val="center"/>
              <w:rPr>
                <w:rFonts w:ascii="宋体" w:hAnsi="宋体" w:cs="宋体"/>
                <w:color w:val="000000" w:themeColor="text1"/>
                <w:kern w:val="0"/>
                <w:szCs w:val="21"/>
                <w:highlight w:val="none"/>
                <w14:textFill>
                  <w14:solidFill>
                    <w14:schemeClr w14:val="tx1"/>
                  </w14:solidFill>
                </w14:textFill>
              </w:rPr>
            </w:pPr>
          </w:p>
        </w:tc>
        <w:tc>
          <w:tcPr>
            <w:tcW w:w="709" w:type="dxa"/>
            <w:tcBorders>
              <w:top w:val="single" w:color="auto" w:sz="4" w:space="0"/>
              <w:left w:val="nil"/>
              <w:right w:val="single" w:color="auto" w:sz="4" w:space="0"/>
            </w:tcBorders>
            <w:shd w:val="clear" w:color="auto"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p>
            <w:pPr>
              <w:widowControl/>
              <w:jc w:val="center"/>
              <w:rPr>
                <w:rFonts w:ascii="宋体" w:hAnsi="宋体" w:cs="宋体"/>
                <w:color w:val="000000" w:themeColor="text1"/>
                <w:kern w:val="0"/>
                <w:szCs w:val="21"/>
                <w:highlight w:val="none"/>
                <w14:textFill>
                  <w14:solidFill>
                    <w14:schemeClr w14:val="tx1"/>
                  </w14:solidFill>
                </w14:textFill>
              </w:rPr>
            </w:pPr>
          </w:p>
          <w:p>
            <w:pPr>
              <w:jc w:val="center"/>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1969" w:hRule="atLeast"/>
        </w:trPr>
        <w:tc>
          <w:tcPr>
            <w:tcW w:w="582"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15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6520" w:type="dxa"/>
            <w:vMerge w:val="continue"/>
            <w:tcBorders>
              <w:top w:val="nil"/>
              <w:left w:val="single" w:color="auto" w:sz="4" w:space="0"/>
              <w:bottom w:val="single" w:color="000000" w:sz="4" w:space="0"/>
              <w:right w:val="single" w:color="auto" w:sz="4" w:space="0"/>
            </w:tcBorders>
            <w:shd w:val="clear" w:color="auto"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25" w:type="dxa"/>
            <w:tcBorders>
              <w:top w:val="nil"/>
              <w:left w:val="nil"/>
              <w:bottom w:val="single" w:color="auto" w:sz="4" w:space="0"/>
              <w:right w:val="single" w:color="auto" w:sz="4" w:space="0"/>
            </w:tcBorders>
            <w:shd w:val="clear" w:color="auto"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709" w:type="dxa"/>
            <w:tcBorders>
              <w:top w:val="nil"/>
              <w:left w:val="nil"/>
              <w:bottom w:val="single" w:color="auto" w:sz="4" w:space="0"/>
              <w:right w:val="single" w:color="auto" w:sz="4" w:space="0"/>
            </w:tcBorders>
            <w:shd w:val="clear" w:color="auto"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41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坐席协作接入端      </w:t>
            </w:r>
          </w:p>
        </w:tc>
        <w:tc>
          <w:tcPr>
            <w:tcW w:w="6520" w:type="dxa"/>
            <w:tcBorders>
              <w:top w:val="nil"/>
              <w:left w:val="nil"/>
              <w:bottom w:val="single" w:color="auto" w:sz="4" w:space="0"/>
              <w:right w:val="single" w:color="auto" w:sz="4" w:space="0"/>
            </w:tcBorders>
            <w:shd w:val="clear" w:color="auto" w:fill="auto"/>
            <w:vAlign w:val="center"/>
          </w:tcPr>
          <w:p>
            <w:pPr>
              <w:widowControl/>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1.采用模块化，可根据不同输入格式与信号要求进行灵活配置。可支持信号源： HDMI、DVI等；单个输入节点具有1路视频输入；1路3.5mm模拟音频输入</w:t>
            </w:r>
          </w:p>
          <w:p>
            <w:pPr>
              <w:widowControl/>
              <w:spacing w:line="360" w:lineRule="auto"/>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2.提供无损压缩非编解码的高速数字切换能力，支持单链路分辨率可高达1920 x 1200@60Hz，包括1080p60Hz，提供高质量图像传输</w:t>
            </w:r>
            <w:r>
              <w:rPr>
                <w:rFonts w:hint="eastAsia" w:ascii="宋体" w:hAnsi="宋体" w:cs="宋体"/>
                <w:color w:val="000000" w:themeColor="text1"/>
                <w:szCs w:val="21"/>
                <w:highlight w:val="none"/>
                <w14:textFill>
                  <w14:solidFill>
                    <w14:schemeClr w14:val="tx1"/>
                  </w14:solidFill>
                </w14:textFill>
              </w:rPr>
              <w:t>；</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3.坐席协作接入端要求采用非IP/TCP协议的闭环式光纤KVM架构，通过单路光纤实现DVI-D或HDMI、KVM、USB-HID、RS232、音频等数据接入。</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4.系统支持接入端&amp;管控端的USB2.0接口控制功能，确保USB2.0传输数据安全可控。</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5、接入端支持机架式集中供电安装。</w:t>
            </w:r>
          </w:p>
          <w:p>
            <w:pPr>
              <w:widowControl/>
              <w:jc w:val="left"/>
              <w:rPr>
                <w:rFonts w:ascii="宋体" w:hAnsi="宋体" w:cs="宋体"/>
                <w:color w:val="000000" w:themeColor="text1"/>
                <w:kern w:val="0"/>
                <w:szCs w:val="21"/>
                <w:highlight w:val="none"/>
                <w14:textFill>
                  <w14:solidFill>
                    <w14:schemeClr w14:val="tx1"/>
                  </w14:solidFill>
                </w14:textFill>
              </w:rPr>
            </w:pPr>
          </w:p>
        </w:tc>
        <w:tc>
          <w:tcPr>
            <w:tcW w:w="4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70</w:t>
            </w:r>
          </w:p>
        </w:tc>
      </w:tr>
      <w:tr>
        <w:tblPrEx>
          <w:tblCellMar>
            <w:top w:w="0" w:type="dxa"/>
            <w:left w:w="108" w:type="dxa"/>
            <w:bottom w:w="0" w:type="dxa"/>
            <w:right w:w="108" w:type="dxa"/>
          </w:tblCellMar>
        </w:tblPrEx>
        <w:trPr>
          <w:trHeight w:val="552"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坐席协作管控端       </w:t>
            </w:r>
          </w:p>
        </w:tc>
        <w:tc>
          <w:tcPr>
            <w:tcW w:w="6520" w:type="dxa"/>
            <w:tcBorders>
              <w:top w:val="nil"/>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1.采用模块化，可根据不同输出格式要求进行灵活配置。可支持信号源： HDMI、DVI等；单个输出节点具有1路视频输出；1路3.5mm模拟音频输出</w:t>
            </w:r>
          </w:p>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2.提供无损压缩非编解码的高速数字切换能力，支持单链路分辨率可高达</w:t>
            </w:r>
            <w:r>
              <w:rPr>
                <w:rFonts w:ascii="宋体" w:hAnsi="宋体" w:cs="宋体"/>
                <w:color w:val="000000" w:themeColor="text1"/>
                <w:szCs w:val="21"/>
                <w:highlight w:val="none"/>
                <w14:textFill>
                  <w14:solidFill>
                    <w14:schemeClr w14:val="tx1"/>
                  </w14:solidFill>
                </w14:textFill>
              </w:rPr>
              <w:t>1920 x 1200@60Hz，包括1080p60Hz，提供高质量图像传输；</w:t>
            </w:r>
          </w:p>
          <w:p>
            <w:pPr>
              <w:pStyle w:val="19"/>
              <w:ind w:firstLine="0" w:firstLineChars="0"/>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3.坐席协作管控端要求采用非IP/TCP协议的闭环式光纤KVM架构，通过单路光纤实现DVI-D或HDMI、KVM、USB-HID、RS232、音频等数据管控。</w:t>
            </w:r>
          </w:p>
          <w:p>
            <w:pPr>
              <w:pStyle w:val="19"/>
              <w:ind w:firstLine="174" w:firstLineChars="83"/>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4.系统支持接入端&amp;管控端的USB2.0接口控制功能，确保USB2.0传输数据安全可控</w:t>
            </w:r>
          </w:p>
          <w:p>
            <w:pPr>
              <w:pStyle w:val="19"/>
              <w:ind w:firstLine="174" w:firstLineChars="83"/>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5.支持本地键盘，实现可定义热键一键抓取到本地显示器或一键推动上屏场景，并实现键盘实时操作。</w:t>
            </w:r>
          </w:p>
          <w:p>
            <w:pPr>
              <w:pStyle w:val="19"/>
              <w:ind w:firstLine="174" w:firstLineChars="83"/>
              <w:rPr>
                <w:rFonts w:hAnsi="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6.支持不同职能坐席人员通过账号密码登陆系统，实现灵活操作工位。</w:t>
            </w:r>
          </w:p>
          <w:p>
            <w:pPr>
              <w:rPr>
                <w:rFonts w:ascii="宋体" w:hAnsi="宋体" w:cs="宋体"/>
                <w:color w:val="000000" w:themeColor="text1"/>
                <w:szCs w:val="21"/>
                <w:highlight w:val="none"/>
                <w14:textFill>
                  <w14:solidFill>
                    <w14:schemeClr w14:val="tx1"/>
                  </w14:solidFill>
                </w14:textFill>
              </w:rPr>
            </w:pPr>
          </w:p>
        </w:tc>
        <w:tc>
          <w:tcPr>
            <w:tcW w:w="42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98</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坐席协同管控软件                 </w:t>
            </w:r>
          </w:p>
        </w:tc>
        <w:tc>
          <w:tcPr>
            <w:tcW w:w="65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支持信号协同推送，支持用户通过OSD菜单或快捷键两种方式，将本地信号推送至其他用户坐席的显示器，或者推送到屏幕上显示支持对一台计算机的拓展信号源的切换和控制支持鼠标滑屏操作，单个席位使用一套键鼠配合多个显示器访问不同的主机，可以通过移动鼠标指针跨屏实现对控制主机的切换   </w:t>
            </w:r>
          </w:p>
        </w:tc>
        <w:tc>
          <w:tcPr>
            <w:tcW w:w="42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168</w:t>
            </w:r>
          </w:p>
        </w:tc>
      </w:tr>
      <w:tr>
        <w:tblPrEx>
          <w:tblCellMar>
            <w:top w:w="0" w:type="dxa"/>
            <w:left w:w="108" w:type="dxa"/>
            <w:bottom w:w="0" w:type="dxa"/>
            <w:right w:w="108" w:type="dxa"/>
          </w:tblCellMar>
        </w:tblPrEx>
        <w:trPr>
          <w:trHeight w:val="1080"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坐席电脑主机(一机单屏)</w:t>
            </w:r>
          </w:p>
        </w:tc>
        <w:tc>
          <w:tcPr>
            <w:tcW w:w="6520" w:type="dxa"/>
            <w:tcBorders>
              <w:top w:val="nil"/>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IntelI5-8500、32G内存、128G固态+1T机械硬盘、4G独立显卡、DVD刻录，Windows10操作系统</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台</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w:t>
            </w:r>
          </w:p>
        </w:tc>
      </w:tr>
      <w:tr>
        <w:tblPrEx>
          <w:tblCellMar>
            <w:top w:w="0" w:type="dxa"/>
            <w:left w:w="108" w:type="dxa"/>
            <w:bottom w:w="0" w:type="dxa"/>
            <w:right w:w="108" w:type="dxa"/>
          </w:tblCellMar>
        </w:tblPrEx>
        <w:trPr>
          <w:trHeight w:val="1080"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坐席电脑主机(一机双屏)</w:t>
            </w:r>
          </w:p>
        </w:tc>
        <w:tc>
          <w:tcPr>
            <w:tcW w:w="6520" w:type="dxa"/>
            <w:tcBorders>
              <w:top w:val="nil"/>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IntelI5-8500、32G内存、128G固态+1T机械硬盘、2个4G独立显卡、DVD刻录，Windows10操作系统</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台</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24</w:t>
            </w:r>
          </w:p>
        </w:tc>
      </w:tr>
      <w:tr>
        <w:tblPrEx>
          <w:tblCellMar>
            <w:top w:w="0" w:type="dxa"/>
            <w:left w:w="108" w:type="dxa"/>
            <w:bottom w:w="0" w:type="dxa"/>
            <w:right w:w="108" w:type="dxa"/>
          </w:tblCellMar>
        </w:tblPrEx>
        <w:trPr>
          <w:trHeight w:val="1080"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坐席电脑主机(一机三屏)</w:t>
            </w:r>
          </w:p>
        </w:tc>
        <w:tc>
          <w:tcPr>
            <w:tcW w:w="6520" w:type="dxa"/>
            <w:tcBorders>
              <w:top w:val="nil"/>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IntelI5-8500、32G内存、128G固态+1T机械硬盘、3个4G独立显卡、DVD刻录，Windows10操作系统</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台</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1080"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显示屏</w:t>
            </w:r>
          </w:p>
        </w:tc>
        <w:tc>
          <w:tcPr>
            <w:tcW w:w="6520" w:type="dxa"/>
            <w:tcBorders>
              <w:top w:val="nil"/>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24寸显示器</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台</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59</w:t>
            </w:r>
          </w:p>
        </w:tc>
      </w:tr>
      <w:tr>
        <w:tblPrEx>
          <w:tblCellMar>
            <w:top w:w="0" w:type="dxa"/>
            <w:left w:w="108" w:type="dxa"/>
            <w:bottom w:w="0" w:type="dxa"/>
            <w:right w:w="108" w:type="dxa"/>
          </w:tblCellMar>
        </w:tblPrEx>
        <w:trPr>
          <w:trHeight w:val="571"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显示屏</w:t>
            </w:r>
          </w:p>
        </w:tc>
        <w:tc>
          <w:tcPr>
            <w:tcW w:w="6520" w:type="dxa"/>
            <w:tcBorders>
              <w:top w:val="nil"/>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24寸显示器，16:9</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台</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48</w:t>
            </w:r>
          </w:p>
        </w:tc>
      </w:tr>
      <w:tr>
        <w:tblPrEx>
          <w:tblCellMar>
            <w:top w:w="0" w:type="dxa"/>
            <w:left w:w="108" w:type="dxa"/>
            <w:bottom w:w="0" w:type="dxa"/>
            <w:right w:w="108" w:type="dxa"/>
          </w:tblCellMar>
        </w:tblPrEx>
        <w:trPr>
          <w:trHeight w:val="692"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桌面终端</w:t>
            </w:r>
          </w:p>
        </w:tc>
        <w:tc>
          <w:tcPr>
            <w:tcW w:w="65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一机双屏：IntelI7-8500、16G内存、128G固态+1T机械硬盘、2G独立显卡，24寸显示器</w:t>
            </w:r>
          </w:p>
        </w:tc>
        <w:tc>
          <w:tcPr>
            <w:tcW w:w="42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套</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20</w:t>
            </w:r>
          </w:p>
        </w:tc>
      </w:tr>
      <w:tr>
        <w:tblPrEx>
          <w:tblCellMar>
            <w:top w:w="0" w:type="dxa"/>
            <w:left w:w="108" w:type="dxa"/>
            <w:bottom w:w="0" w:type="dxa"/>
            <w:right w:w="108" w:type="dxa"/>
          </w:tblCellMar>
        </w:tblPrEx>
        <w:trPr>
          <w:trHeight w:val="844"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w:t>
            </w:r>
          </w:p>
        </w:tc>
        <w:tc>
          <w:tcPr>
            <w:tcW w:w="1560" w:type="dxa"/>
            <w:tcBorders>
              <w:top w:val="nil"/>
              <w:left w:val="nil"/>
              <w:bottom w:val="single" w:color="auto" w:sz="4" w:space="0"/>
              <w:right w:val="single" w:color="auto" w:sz="4" w:space="0"/>
            </w:tcBorders>
            <w:shd w:val="clear" w:color="000000" w:fill="FFFFFF"/>
            <w:noWrap/>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桌面终端</w:t>
            </w:r>
          </w:p>
        </w:tc>
        <w:tc>
          <w:tcPr>
            <w:tcW w:w="6520" w:type="dxa"/>
            <w:tcBorders>
              <w:top w:val="nil"/>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一机单屏：IntelI5-8500、8G内存、128G固态+1T机械硬盘、2G独立显卡，24寸显示器</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套</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44</w:t>
            </w:r>
          </w:p>
        </w:tc>
      </w:tr>
      <w:tr>
        <w:tblPrEx>
          <w:tblCellMar>
            <w:top w:w="0" w:type="dxa"/>
            <w:left w:w="108" w:type="dxa"/>
            <w:bottom w:w="0" w:type="dxa"/>
            <w:right w:w="108" w:type="dxa"/>
          </w:tblCellMar>
        </w:tblPrEx>
        <w:trPr>
          <w:trHeight w:val="844"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w:t>
            </w:r>
          </w:p>
        </w:tc>
        <w:tc>
          <w:tcPr>
            <w:tcW w:w="1560" w:type="dxa"/>
            <w:tcBorders>
              <w:top w:val="nil"/>
              <w:left w:val="nil"/>
              <w:bottom w:val="single" w:color="auto" w:sz="4" w:space="0"/>
              <w:right w:val="single" w:color="auto" w:sz="4" w:space="0"/>
            </w:tcBorders>
            <w:shd w:val="clear" w:color="000000" w:fill="FFFFFF"/>
            <w:noWrap/>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桌面终端</w:t>
            </w:r>
          </w:p>
        </w:tc>
        <w:tc>
          <w:tcPr>
            <w:tcW w:w="6520" w:type="dxa"/>
            <w:tcBorders>
              <w:top w:val="nil"/>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一机三屏：IntelI5-8500、8G内存、128G固态+1T机械硬盘、2G独立显卡，24寸显示器</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套</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14</w:t>
            </w:r>
          </w:p>
        </w:tc>
      </w:tr>
      <w:tr>
        <w:tblPrEx>
          <w:tblCellMar>
            <w:top w:w="0" w:type="dxa"/>
            <w:left w:w="108" w:type="dxa"/>
            <w:bottom w:w="0" w:type="dxa"/>
            <w:right w:w="108" w:type="dxa"/>
          </w:tblCellMar>
        </w:tblPrEx>
        <w:trPr>
          <w:trHeight w:val="844"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智能情报指挥工作舱</w:t>
            </w:r>
          </w:p>
        </w:tc>
        <w:tc>
          <w:tcPr>
            <w:tcW w:w="65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含三台不同网络工作主机，移动端工作站，6个显示器支架，支持六个1080P分辨率屏幕同时工作。视频输出支持rtsp、GB28181协议。含音频输出和高保真桌面音响。支持5路及以上1000M自适应网络接口。数据传输包含1TB固态硬盘。整体坐席含人体工学电动座椅一个，前后腰部可调节。配置无线鼠标，支持7路以上USB接口、220V电源接口。实现网络间数据透传。</w:t>
            </w:r>
          </w:p>
        </w:tc>
        <w:tc>
          <w:tcPr>
            <w:tcW w:w="42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rPr>
          <w:trHeight w:val="1080" w:hRule="atLeast"/>
        </w:trPr>
        <w:tc>
          <w:tcPr>
            <w:tcW w:w="5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14</w:t>
            </w:r>
          </w:p>
        </w:tc>
        <w:tc>
          <w:tcPr>
            <w:tcW w:w="1560"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线缆辅材</w:t>
            </w:r>
          </w:p>
        </w:tc>
        <w:tc>
          <w:tcPr>
            <w:tcW w:w="65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2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批</w:t>
            </w:r>
          </w:p>
        </w:tc>
        <w:tc>
          <w:tcPr>
            <w:tcW w:w="70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bl>
    <w:p>
      <w:pPr>
        <w:pStyle w:val="4"/>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3.4分布式综合管理系统 </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3.4.1系统概述</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分布式综合管理平台的作用：在多个区域中，任意位置可通过一台操作端登录定制化的客户端、标准客户端或者登录IE客户端(无需预装软件)进行统一的管理操作，支持多人同时操作，实现所有信号源的可视预览、任意调度上某一个大屏，完成画面拼接、漫游、叠加、</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任意开窗等控制，以及各大屏显示内容在管理客户端上的回显，方便操作人直观监督屏显内容。应急预案的调用、多屏交互、屏幕镜像、多平台系统交互、外设管理等都可通过客户端简单操作实现，对用户而言相当于使用一套系统。 </w:t>
      </w:r>
    </w:p>
    <w:p>
      <w:pPr>
        <w:spacing w:line="360" w:lineRule="auto"/>
        <w:ind w:firstLine="420" w:firstLineChars="200"/>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本此在指挥大厅、情报合成区、110接警区、图侦、决策室、内部会议室等区域视频输出大屏、多媒体盒、会议摄像机等部署网络分布式输入/输出节点，可以实时按需要把各个区域的图像推送到指定的显示屏。 </w:t>
      </w:r>
    </w:p>
    <w:p>
      <w:pPr>
        <w:pStyle w:val="5"/>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3.4.2技术规格、参数及要求</w:t>
      </w:r>
    </w:p>
    <w:tbl>
      <w:tblPr>
        <w:tblStyle w:val="13"/>
        <w:tblW w:w="10080" w:type="dxa"/>
        <w:tblInd w:w="93" w:type="dxa"/>
        <w:tblLayout w:type="fixed"/>
        <w:tblCellMar>
          <w:top w:w="0" w:type="dxa"/>
          <w:left w:w="108" w:type="dxa"/>
          <w:bottom w:w="0" w:type="dxa"/>
          <w:right w:w="108" w:type="dxa"/>
        </w:tblCellMar>
      </w:tblPr>
      <w:tblGrid>
        <w:gridCol w:w="724"/>
        <w:gridCol w:w="1559"/>
        <w:gridCol w:w="6405"/>
        <w:gridCol w:w="696"/>
        <w:gridCol w:w="696"/>
      </w:tblGrid>
      <w:tr>
        <w:tblPrEx>
          <w:tblCellMar>
            <w:top w:w="0" w:type="dxa"/>
            <w:left w:w="108" w:type="dxa"/>
            <w:bottom w:w="0" w:type="dxa"/>
            <w:right w:w="108" w:type="dxa"/>
          </w:tblCellMar>
        </w:tblPrEx>
        <w:tc>
          <w:tcPr>
            <w:tcW w:w="7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序号</w:t>
            </w:r>
          </w:p>
        </w:tc>
        <w:tc>
          <w:tcPr>
            <w:tcW w:w="1559" w:type="dxa"/>
            <w:tcBorders>
              <w:top w:val="single" w:color="auto" w:sz="4" w:space="0"/>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设备名称</w:t>
            </w:r>
          </w:p>
        </w:tc>
        <w:tc>
          <w:tcPr>
            <w:tcW w:w="6405"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规格参数</w:t>
            </w:r>
          </w:p>
        </w:tc>
        <w:tc>
          <w:tcPr>
            <w:tcW w:w="696"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w:t>
            </w:r>
          </w:p>
        </w:tc>
        <w:tc>
          <w:tcPr>
            <w:tcW w:w="696"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网络分布式4K输入/输出节点</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1、接口：HDMI输入接口≥1，HDMI环出接口≥1，3.5mm音频输入接口≥1，3.5mm音频环出/输出接口≥1，RS-232接口≥1，RJ-45接口≥2，兼容HDMI/DVI-D；</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2、支持352×288~3840×2560，480i/p,576i/p,720p,1080i/p；能够自适应采集视频输入信号；</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3、具备1*RJ-45网络接口，1000MBase-T接口；</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4、网络协议支持DHCP、UDP、TCP/IP；</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5、单个节点可以在多个显示终端或多个显示窗口以完整分辨率显示，单屏内开窗显示可支持16路信号，并支持多用户访问查看，数量无上限</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6、可支持网络交换机PoE供电，简化施工流程，降低供电风险；也可以采取PoE+Adapter双冗余供电，彻底避免因供电失效导致的风险；</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7、支持H.265实时编解码，可兼容H.264标准；</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高精度同步校准，分布式节点同步误差≤0.02ms，可对分散的、不同拼接规模、不同类型的显示屏进行统一管理和联合调度,支持跨网段、跨路由、跨链路传输；须出具生产厂商提供CNAS认可的第三方检测机构提供的检测报告复印件并加盖公章；</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9、支持信号源阵列功能，多节点阵列拼接成一个信号源，阵列信号的整屏图像须具备高度的显示同步性，不能出现画面撕裂、跳帧、卡顿等现象，各单元之间误差不得大于0.02ms。</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 支持窗口字符叠加，可对信号进行预览/回显，信号可任意拼接漫游显示；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11、信号从源端到显示端延时：&lt;80ms；</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41</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网络分布式输入/输出节点</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1、接口：DVI-I输入接口≥1，DVI-I环出接口≥1，3.5mm音频输入接口≥1，3.5mm音频环出/输出接口≥1，RS-232接口≥1，RJ-45接口≥1，兼容HDMI/DVI-D/DVI-I/RGB/VGA/YPbPr，支持数字/模拟RGB信号输入；</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2、支持352×288~1920×1200，480i/p,576i/p,720p,1080i/p；能够自适应采集视频输入信号；</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3、具备1*RJ-45网络接口，1000MBase-T接口；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4、网络协议支持DHCP、UDP、TCP/IP；</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5、单个节点可以在多个显示终端或多个显示窗口以完整分辨率显示，单屏内开窗显示可支持16路信号，并支持多用户访问查看，数量无上限；</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6、可支持网络交换机PoE供电，简化施工流程，降低供电风险；也可以采取PoE+Adapter双冗余供电，彻底避免因供电失效导致的风险；</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7、支持H.265实时编解码，可兼容H.264标准；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高精度同步校准，分布式节点同步误差≤0.02ms，可对分散的、不同拼接规模、不同类型的显示屏进行统一管理和联合调度,支持跨网段、跨路由、跨链路传输；须出具生产厂商提供CNAS认可的第三方检测机构提供的检测报告复印件并加盖公章；</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9、支持信号源阵列功能，多节点阵列拼接成一个信号源，阵列信号的整屏图像须具备高度的显示同步性，不能出现画面撕裂、跳帧、卡顿等现象，各单元之间误差不得大于0.02ms。</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 支持窗口字符叠加，可对信号进行预览/回显，信号可任意拼接漫游显示；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11、信号从源端到显示端延时：&lt;80ms；</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69</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分布式管理服务器</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1、硬件平台：基于ARM嵌入式；操作系统：嵌入式Linux；显示：液晶设备信息+LED状态指示；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2、鉴于系统采用完全分布式架构，所有节点都具备独立工作的能力，只需一台服务器即可完成图像信号的控制、管理、回显、预览、同步等所有功能，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当管理控制服务器断电、断网、宕机的情况下，系统依然能够保持当前状态运行，能够有效的提高系统的稳定性，需要设备制造厂商提供相关功能说明的承诺函；控制服务器采用嵌入式纯硬件架构，嵌入式Linux操作系统；须出具生产厂商提供CNAS认可的第三方检测机构提供的检测报告复印件并加盖公章；</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4、网口：≥2个千兆网口，支持双网冗余备份，需提供设备彩页资料；</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5、电源：电源输出功率≤20W 单机及双机热备份（主从）两种模式，支持PoE+Adapter冗余供电方案；</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6、高精度同步校准，分布式节点同步误差≤0.02ms，可对分散的、不同拼接规模、不同类型的显示屏进行统一管理和联合调度,支持跨网段、跨路由、跨链路传输；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7、集中管理分散在系统内各种类型设备，系统规模无上限；</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服务器管理软件</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1、支持设备双网冗余备份；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2、支持双服务器冗余备份；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3、拼接同步管理；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4、节点管理：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①节点数量：不限；</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②输出数量：授权许可；</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5、信号路由管理；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6、拼接管理功能：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7、窗口管理功能：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8、静态预案功能：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9、自动预案功能：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10、时程规划管理；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11、底图管理功能；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12、视窗名称叠加；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13、支持文字编辑设置；</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14、预览/回显功能：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15、支持固件更新；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16、语言：中/英；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17、控制管理：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①网络协议：UDP、TCP/IP；</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②控制架构：B/S，C/S。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18、支持外设中控管理功能；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19、账户管理功能；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20、支持IPC接入授权许可；</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触摸屏控制电脑</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23英寸 第八代 i5 8G 128G ，最佳分辨率：1920×1080，点距：0.2745mm，对比度：1000:1，色数：16.7M，刷新率：60HZ，亮度：250cd/m2，可视角度：178度（水平）/178度（垂直），电容10点触摸屏</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可视化编程软件</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根据用户使用习惯和要求现场定制</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1、支持各类信息的查询，提供视频源的实时预览检索功能。用户只需在检索框里输入信号源的搜索关键字就可以查出包含有该关键字的所有信号源；</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2、所见即所得的快速切换操作，可通过触摸管理终端，用拖拽的方式进行信号预览后准确及时准确地在大屏幕上按要求正确显示，避免推送信号错误，切换时间应不高于0.5秒，并能够与大屏幕显示墙同步显示；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屏幕显示墙应可根据具体场景和应用设置各类信息预案，把各类屏幕显示方式进行设置，如应急指挥模式、汇报演习模式、日常工作模式等，在需要的时候通过管理终端一键切换至预案模式，快速调用，满足各种情况的使用需要，灵活调用，纵览全局，快速布置，需提供软件功能截图；</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可视化客户端软件</w:t>
            </w:r>
          </w:p>
        </w:tc>
        <w:tc>
          <w:tcPr>
            <w:tcW w:w="6405"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可视化客户端授权</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触控一体机</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23英寸 第八代 i5 8G 128G ，最佳分辨率：1920×1080，主机显示一体，电容多点触摸屏</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移动触摸平板</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9.7英寸（128G WLAN版）</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IPC Server服务器软件</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1、IP流媒体平台对接服务：</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①支持16路1080P私有码流上屏；</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②支持网络云台控制对接；</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2、操作系统：：</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①支持 Windows系统（中/英文）；</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②Unix/Linux系统可定制开发；</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3、网络协议：RTSP/TCP；</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4、网络：1000M及以上，建议多网卡；</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流媒体服务器</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处理器：至强Xeon-E5/E5-2609V4；</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内存:16G；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硬盘:1T。</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w:t>
            </w:r>
          </w:p>
        </w:tc>
        <w:tc>
          <w:tcPr>
            <w:tcW w:w="155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文字编辑软件</w:t>
            </w:r>
          </w:p>
        </w:tc>
        <w:tc>
          <w:tcPr>
            <w:tcW w:w="6405"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用于大屏幕上显示滚动的信息，内容显示为文字、字母、数字等滚动显示，文字内容、字体、颜色可定制</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69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48口交换机</w:t>
            </w:r>
          </w:p>
        </w:tc>
        <w:tc>
          <w:tcPr>
            <w:tcW w:w="64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1、交换容量≥330Gbps，包转发率≥87Mpps；（如果官方网站公布有多个参考值，以最小值为准）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2、接口类型：千兆电口≥48个，千兆光口≥4个；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3、路由协议：支持IPv4静态路由、RIP V1/V2、OSPF，支持IPv6静态路由、RIPng；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4、堆叠特性：支持堆叠链路负载分担和冗余功能，最大堆叠台数≥9台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5、访问控制策略：支持基于第二层、第三层和第四层的ACL；整机提供ACl条目数不小于1K条；支持基于端口和VLAN的 ACL；支持IPv6 ACL；支持出方向ACL，以便于灵活实现数据包过滤；支持802.1x认证，支持集中式MAC地址认证；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6、ERPS：实现ERPS功能，能够快速阻断环路，链路收敛时间≤50ms；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7、绿色节能：符合IEEE 802.3az（EEE）节能标准；支持端口定时down功能；支持端口休眠，关闭没有应用的端口，节省能源</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14</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24口汇聚交换机</w:t>
            </w:r>
          </w:p>
        </w:tc>
        <w:tc>
          <w:tcPr>
            <w:tcW w:w="64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 交换容量：≥2.56Tbps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 转发率：≥540Mpps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 表项：MAC地址表≥32K，路由表容量≥16K，ARP≥16K</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 接口：≥24个1/10G SFP光口+2个QSFP Plus端口+1USB口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 支持最大9台设备虚拟化；最大堆叠带宽≥160G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 支持OPENFLOW 1.3标准支持普通模式和Openflow 模式切换，支持多控制器（EQUAL模式、主备模式）</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 支持IPv4静态路由、RIP V1/V2、OSPF、BGP、ISIS；支持IPv6静态路由、RIPng、OSPFv3、BGP4+，支持IPv4和IPv6环境下的策略路由</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 支持VRRPv2/v3（虚拟路由冗余协议)；支持RRPP（快速环网保护协议），环网故障恢复时间不超过200ms；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 支持OAM(802.1AG， 802.3AH)以太网运行、维护和管理标准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10.含千兆光模块6个及万兆光模块2个</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15</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千兆单模光纤模块</w:t>
            </w:r>
          </w:p>
        </w:tc>
        <w:tc>
          <w:tcPr>
            <w:tcW w:w="64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千兆10公里单模光纤模块（1310nm，LC）</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万兆单模光纤模块</w:t>
            </w:r>
          </w:p>
        </w:tc>
        <w:tc>
          <w:tcPr>
            <w:tcW w:w="64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万兆10公里单模光纤模块（1310nm，LC）</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17</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线缆辅材</w:t>
            </w:r>
          </w:p>
        </w:tc>
        <w:tc>
          <w:tcPr>
            <w:tcW w:w="64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批</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bl>
    <w:p>
      <w:pPr>
        <w:pStyle w:val="4"/>
        <w:rPr>
          <w:color w:val="000000" w:themeColor="text1"/>
          <w:sz w:val="30"/>
          <w:szCs w:val="30"/>
          <w:highlight w:val="none"/>
          <w14:textFill>
            <w14:solidFill>
              <w14:schemeClr w14:val="tx1"/>
            </w14:solidFill>
          </w14:textFill>
        </w:rPr>
      </w:pPr>
      <w:r>
        <w:rPr>
          <w:rFonts w:hint="eastAsia"/>
          <w:color w:val="000000" w:themeColor="text1"/>
          <w:sz w:val="30"/>
          <w:szCs w:val="30"/>
          <w:highlight w:val="none"/>
          <w14:textFill>
            <w14:solidFill>
              <w14:schemeClr w14:val="tx1"/>
            </w14:solidFill>
          </w14:textFill>
        </w:rPr>
        <w:t>3.5指挥大厅LED显示屏</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3.5.1系统概述</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本此在情指联勤中心指挥大厅设置LED弧形屏，显示尺寸：长≥16m、宽≥4.38m、设计面积约75㎡（具体以施工实际尺寸为准），整屏分辨率不低于12800点*3510点，像素点间距≤P1.25的室内全彩屏，金线封装； </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LED弧形屏需强电专业提供功率≥64KW。</w:t>
      </w:r>
    </w:p>
    <w:p>
      <w:pPr>
        <w:pStyle w:val="5"/>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3.5.2技术规格、参数及要求</w:t>
      </w:r>
    </w:p>
    <w:tbl>
      <w:tblPr>
        <w:tblStyle w:val="13"/>
        <w:tblW w:w="5018" w:type="pct"/>
        <w:tblInd w:w="0" w:type="dxa"/>
        <w:tblLayout w:type="fixed"/>
        <w:tblCellMar>
          <w:top w:w="0" w:type="dxa"/>
          <w:left w:w="108" w:type="dxa"/>
          <w:bottom w:w="0" w:type="dxa"/>
          <w:right w:w="108" w:type="dxa"/>
        </w:tblCellMar>
      </w:tblPr>
      <w:tblGrid>
        <w:gridCol w:w="677"/>
        <w:gridCol w:w="1434"/>
        <w:gridCol w:w="6224"/>
        <w:gridCol w:w="708"/>
        <w:gridCol w:w="846"/>
      </w:tblGrid>
      <w:tr>
        <w:tblPrEx>
          <w:tblCellMar>
            <w:top w:w="0" w:type="dxa"/>
            <w:left w:w="108" w:type="dxa"/>
            <w:bottom w:w="0" w:type="dxa"/>
            <w:right w:w="108" w:type="dxa"/>
          </w:tblCellMar>
        </w:tblPrEx>
        <w:trPr>
          <w:trHeight w:val="402" w:hRule="atLeast"/>
        </w:trPr>
        <w:tc>
          <w:tcPr>
            <w:tcW w:w="34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序号</w:t>
            </w:r>
          </w:p>
        </w:tc>
        <w:tc>
          <w:tcPr>
            <w:tcW w:w="725"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设备名称</w:t>
            </w:r>
          </w:p>
        </w:tc>
        <w:tc>
          <w:tcPr>
            <w:tcW w:w="314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规格参数</w:t>
            </w:r>
          </w:p>
        </w:tc>
        <w:tc>
          <w:tcPr>
            <w:tcW w:w="35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w:t>
            </w:r>
          </w:p>
        </w:tc>
        <w:tc>
          <w:tcPr>
            <w:tcW w:w="42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rPr>
          <w:trHeight w:val="693" w:hRule="atLeast"/>
        </w:trPr>
        <w:tc>
          <w:tcPr>
            <w:tcW w:w="34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72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LED显示屏（曲面屏）</w:t>
            </w:r>
          </w:p>
        </w:tc>
        <w:tc>
          <w:tcPr>
            <w:tcW w:w="3147"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1、显示尺寸：长度≥16m,宽度≥4.38m;            </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★2、采用表贴三合一、或COB等技术，像素点间距（mm）≤1.25㎜，</w:t>
            </w:r>
            <w:r>
              <w:rPr>
                <w:rFonts w:hint="eastAsia" w:ascii="宋体" w:hAnsi="宋体" w:cs="宋体"/>
                <w:color w:val="000000" w:themeColor="text1"/>
                <w:szCs w:val="21"/>
                <w:highlight w:val="none"/>
                <w14:textFill>
                  <w14:solidFill>
                    <w14:schemeClr w14:val="tx1"/>
                  </w14:solidFill>
                </w14:textFill>
              </w:rPr>
              <w:t>整屏分辨率不低于12800点*3510点，</w:t>
            </w:r>
            <w:r>
              <w:rPr>
                <w:rFonts w:hint="eastAsia" w:ascii="宋体" w:hAnsi="宋体" w:cs="宋体"/>
                <w:color w:val="000000" w:themeColor="text1"/>
                <w:kern w:val="0"/>
                <w:szCs w:val="21"/>
                <w:highlight w:val="none"/>
                <w14:textFill>
                  <w14:solidFill>
                    <w14:schemeClr w14:val="tx1"/>
                  </w14:solidFill>
                </w14:textFill>
              </w:rPr>
              <w:t>像素点密度≥640000点/㎡；采用表贴三合一的产品灯珠品牌须选用日亚、科瑞、亿光，金线封装；采用COB等系列封装</w:t>
            </w:r>
            <w:r>
              <w:rPr>
                <w:rFonts w:hint="eastAsia" w:ascii="宋体" w:hAnsi="宋体" w:cs="宋体"/>
                <w:color w:val="000000" w:themeColor="text1"/>
                <w:szCs w:val="21"/>
                <w:highlight w:val="none"/>
                <w14:textFill>
                  <w14:solidFill>
                    <w14:schemeClr w14:val="tx1"/>
                  </w14:solidFill>
                </w14:textFill>
              </w:rPr>
              <w:t>技术产品，主要部件晶元品牌须选用三星、华灿、三安，高密封装，保证无故障运行时间≥100000小时，应保证整套系统可以防潮湿、碰撞、静电等功能，需提供第三方检测机构（检测机构必须具备CNAS资格认可）出具的检测报告（扫描件或复印件），并加盖厂家公章，屏体表面要求平整无缝隙，可以擦拭清洁，维护简单便捷。</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单元支持7*24小时不间断稳定运行；支持热插拔更换模组；系统支持双冗余电源供电，支持双输入信号热备份功能，单元支持带电热插拔，单元即插即用，单元更换后无需设置和校正即可正常使用，保证整屏显示的均匀一致；</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4、支持单点全色域校正；</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5、对比度：≥3000:1，色温：3000-9500K可调；</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6、发光点中心距偏差：≤3%，亮度均匀性：≥97%，色彩均匀性：±0.003Cx,Cy之内；</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7、灰度：100%亮度时16bit；</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8、低亮高灰高刷特性：在亮度降低小于300以下时，灰度与刷新率不低于原设定值的80%；</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9、视角：水平/垂直≥160°/160°；</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10、刷新率：不低于3840Hz，画面帧频50/60Hz，观看舒适，画面稳定流畅，无拖影，屏体不闪烁，图像稳定无撕裂、高速动态视频图像显示完整，无扫描线；</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11、电源及功耗：功耗无极可调，峰值功耗≤600W/㎡，平均功耗200W/㎡； </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12、MTBF：≥100000小时；</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13、报警模块：具有故障报警功能，可显示当前箱体的工作状态、警告信息，显示各个部件的参数；</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14、盲点率：≤1/100000；</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15、寿命典型值：≥100000小时；</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16、防潮性：无凝结；</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17、散热方式：无风扇，无散热孔，采用铝基板散热，保证屏体均匀散热且保证平整度一致；</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★18、结构设计：采用高精度结构设计，具有耐盐雾腐蚀性能和抗氧化性，箱体间缝隙≤0.1mm，箱体平整度≤0.1mm；（投标时提供由CNAS认证的第三方权威机构出具的检测报告扫描件并加盖原厂公章） </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19、显示特性：白平衡、色温在每一级亮度参数下均保持恒定；</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20、产品通过高低温试验及高低温循环试验；</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21、抗潮湿试验：通过GB4943.1-2011相关要求的抗潮湿试验，满足在湿热箱处理后，正常工作，抗电强度试验无击穿现象；</w:t>
            </w:r>
          </w:p>
          <w:p>
            <w:pPr>
              <w:numPr>
                <w:ilvl w:val="0"/>
                <w:numId w:val="7"/>
              </w:num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冲击试验：通过GB4943.1-2011相关要求的抗冲击试验，无影响产品安全的损伤；</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23、防护等级：具有加固表面，前IP5X/后IP6X；</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★24、投标产品需通过国家CCC认证，并提供认证证书，要求为制造商自主研发产品，CCC认证中“申请人或委托人”“生产者”“生产企业”名称一致。</w:t>
            </w:r>
          </w:p>
        </w:tc>
        <w:tc>
          <w:tcPr>
            <w:tcW w:w="35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p>
        </w:tc>
        <w:tc>
          <w:tcPr>
            <w:tcW w:w="42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设计面积75</w:t>
            </w:r>
            <w:r>
              <w:rPr>
                <w:rFonts w:hint="eastAsia" w:ascii="宋体" w:hAnsi="宋体" w:cs="宋体"/>
                <w:color w:val="000000" w:themeColor="text1"/>
                <w:szCs w:val="21"/>
                <w:highlight w:val="none"/>
                <w14:textFill>
                  <w14:solidFill>
                    <w14:schemeClr w14:val="tx1"/>
                  </w14:solidFill>
                </w14:textFill>
              </w:rPr>
              <w:t>（具体以施工实际尺寸为准）</w:t>
            </w:r>
          </w:p>
        </w:tc>
      </w:tr>
      <w:tr>
        <w:tblPrEx>
          <w:tblCellMar>
            <w:top w:w="0" w:type="dxa"/>
            <w:left w:w="108" w:type="dxa"/>
            <w:bottom w:w="0" w:type="dxa"/>
            <w:right w:w="108" w:type="dxa"/>
          </w:tblCellMar>
        </w:tblPrEx>
        <w:trPr>
          <w:trHeight w:val="90" w:hRule="atLeast"/>
        </w:trPr>
        <w:tc>
          <w:tcPr>
            <w:tcW w:w="34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72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播控软件</w:t>
            </w:r>
          </w:p>
        </w:tc>
        <w:tc>
          <w:tcPr>
            <w:tcW w:w="314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1、支持C/S架构（客户端/服务器），任何一台连在网络上的电脑均可以作为大屏幕的操作管理者。</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2、可实现大屏幕系统日常所有的基本操作与控制管理，如：开/关机、信号源管理、用户管理、设备管理、远程鼠标、系统状态监控、预案的制作/保存/调用等。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3、设备管理：用户可直接在软件上管理包括显示屏等各种设备，对所有设备进行统一控制及管理，简化操作步骤，提高工作效率。</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4、显示布局管理：支持信号源、应用程序等任意开窗，所有窗口均可实现任意拖放、随意叠加、自由缩放、自定义编组、自动排列、属性单独设置等功能。</w:t>
            </w:r>
          </w:p>
        </w:tc>
        <w:tc>
          <w:tcPr>
            <w:tcW w:w="35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42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80" w:hRule="atLeast"/>
        </w:trPr>
        <w:tc>
          <w:tcPr>
            <w:tcW w:w="34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72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LED发送盒</w:t>
            </w:r>
          </w:p>
        </w:tc>
        <w:tc>
          <w:tcPr>
            <w:tcW w:w="314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DVI/HDMI信号输入、RJ45网口</w:t>
            </w:r>
          </w:p>
        </w:tc>
        <w:tc>
          <w:tcPr>
            <w:tcW w:w="35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2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w:t>
            </w:r>
          </w:p>
        </w:tc>
      </w:tr>
      <w:tr>
        <w:tblPrEx>
          <w:tblCellMar>
            <w:top w:w="0" w:type="dxa"/>
            <w:left w:w="108" w:type="dxa"/>
            <w:bottom w:w="0" w:type="dxa"/>
            <w:right w:w="108" w:type="dxa"/>
          </w:tblCellMar>
        </w:tblPrEx>
        <w:trPr>
          <w:trHeight w:val="645" w:hRule="atLeast"/>
        </w:trPr>
        <w:tc>
          <w:tcPr>
            <w:tcW w:w="34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72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超高分辨率图形工作站</w:t>
            </w:r>
          </w:p>
        </w:tc>
        <w:tc>
          <w:tcPr>
            <w:tcW w:w="314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CPU不低于至强金牌5117，28核 2.0G HZ两颗，内存不低于512G内存， 显卡P4000-8G*2，支持输出分辨率不低于12800×3744</w:t>
            </w:r>
          </w:p>
        </w:tc>
        <w:tc>
          <w:tcPr>
            <w:tcW w:w="35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2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34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72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配电柜</w:t>
            </w:r>
          </w:p>
        </w:tc>
        <w:tc>
          <w:tcPr>
            <w:tcW w:w="314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≥64KW配电柜</w:t>
            </w:r>
          </w:p>
        </w:tc>
        <w:tc>
          <w:tcPr>
            <w:tcW w:w="35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42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34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72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结构装饰</w:t>
            </w:r>
          </w:p>
        </w:tc>
        <w:tc>
          <w:tcPr>
            <w:tcW w:w="314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定制钢结构</w:t>
            </w:r>
          </w:p>
        </w:tc>
        <w:tc>
          <w:tcPr>
            <w:tcW w:w="35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p>
        </w:tc>
        <w:tc>
          <w:tcPr>
            <w:tcW w:w="42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74.88</w:t>
            </w:r>
          </w:p>
        </w:tc>
      </w:tr>
      <w:tr>
        <w:tblPrEx>
          <w:tblCellMar>
            <w:top w:w="0" w:type="dxa"/>
            <w:left w:w="108" w:type="dxa"/>
            <w:bottom w:w="0" w:type="dxa"/>
            <w:right w:w="108" w:type="dxa"/>
          </w:tblCellMar>
        </w:tblPrEx>
        <w:trPr>
          <w:trHeight w:val="402" w:hRule="atLeast"/>
        </w:trPr>
        <w:tc>
          <w:tcPr>
            <w:tcW w:w="34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72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线缆辅材</w:t>
            </w:r>
          </w:p>
        </w:tc>
        <w:tc>
          <w:tcPr>
            <w:tcW w:w="314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35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批</w:t>
            </w:r>
          </w:p>
        </w:tc>
        <w:tc>
          <w:tcPr>
            <w:tcW w:w="42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bl>
    <w:p>
      <w:pPr>
        <w:pStyle w:val="4"/>
        <w:rPr>
          <w:color w:val="000000" w:themeColor="text1"/>
          <w:sz w:val="30"/>
          <w:szCs w:val="30"/>
          <w:highlight w:val="none"/>
          <w14:textFill>
            <w14:solidFill>
              <w14:schemeClr w14:val="tx1"/>
            </w14:solidFill>
          </w14:textFill>
        </w:rPr>
      </w:pPr>
      <w:r>
        <w:rPr>
          <w:rFonts w:hint="eastAsia"/>
          <w:color w:val="000000" w:themeColor="text1"/>
          <w:sz w:val="30"/>
          <w:szCs w:val="30"/>
          <w:highlight w:val="none"/>
          <w14:textFill>
            <w14:solidFill>
              <w14:schemeClr w14:val="tx1"/>
            </w14:solidFill>
          </w14:textFill>
        </w:rPr>
        <w:t>3.6综合安防系统</w:t>
      </w:r>
    </w:p>
    <w:p>
      <w:pPr>
        <w:spacing w:line="360" w:lineRule="auto"/>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本次综合安防系统包含视频监控系统，门禁管理系统。</w:t>
      </w:r>
      <w:r>
        <w:rPr>
          <w:rFonts w:ascii="宋体" w:hAnsi="宋体" w:cs="宋体"/>
          <w:color w:val="000000" w:themeColor="text1"/>
          <w:kern w:val="0"/>
          <w:szCs w:val="21"/>
          <w:highlight w:val="none"/>
          <w14:textFill>
            <w14:solidFill>
              <w14:schemeClr w14:val="tx1"/>
            </w14:solidFill>
          </w14:textFill>
        </w:rPr>
        <w:t xml:space="preserve"> </w:t>
      </w:r>
    </w:p>
    <w:p>
      <w:pPr>
        <w:spacing w:line="360" w:lineRule="auto"/>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1）视频监控系统</w:t>
      </w:r>
    </w:p>
    <w:p>
      <w:pPr>
        <w:spacing w:line="360" w:lineRule="auto"/>
        <w:ind w:firstLine="525" w:firstLineChars="25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根据视频系统提供的标准接口（如</w:t>
      </w:r>
      <w:r>
        <w:rPr>
          <w:rFonts w:ascii="宋体" w:hAnsi="宋体" w:cs="宋体"/>
          <w:color w:val="000000" w:themeColor="text1"/>
          <w:kern w:val="0"/>
          <w:szCs w:val="21"/>
          <w:highlight w:val="none"/>
          <w14:textFill>
            <w14:solidFill>
              <w14:schemeClr w14:val="tx1"/>
            </w14:solidFill>
          </w14:textFill>
        </w:rPr>
        <w:t>TCP/IP</w:t>
      </w:r>
      <w:r>
        <w:rPr>
          <w:rFonts w:hint="eastAsia" w:ascii="宋体" w:hAnsi="宋体" w:cs="宋体"/>
          <w:color w:val="000000" w:themeColor="text1"/>
          <w:kern w:val="0"/>
          <w:szCs w:val="21"/>
          <w:highlight w:val="none"/>
          <w14:textFill>
            <w14:solidFill>
              <w14:schemeClr w14:val="tx1"/>
            </w14:solidFill>
          </w14:textFill>
        </w:rPr>
        <w:t>、</w:t>
      </w:r>
      <w:r>
        <w:rPr>
          <w:rFonts w:ascii="宋体" w:hAnsi="宋体" w:cs="宋体"/>
          <w:color w:val="000000" w:themeColor="text1"/>
          <w:kern w:val="0"/>
          <w:szCs w:val="21"/>
          <w:highlight w:val="none"/>
          <w14:textFill>
            <w14:solidFill>
              <w14:schemeClr w14:val="tx1"/>
            </w14:solidFill>
          </w14:textFill>
        </w:rPr>
        <w:t>SOCKET</w:t>
      </w:r>
      <w:r>
        <w:rPr>
          <w:rFonts w:hint="eastAsia" w:ascii="宋体" w:hAnsi="宋体" w:cs="宋体"/>
          <w:color w:val="000000" w:themeColor="text1"/>
          <w:kern w:val="0"/>
          <w:szCs w:val="21"/>
          <w:highlight w:val="none"/>
          <w14:textFill>
            <w14:solidFill>
              <w14:schemeClr w14:val="tx1"/>
            </w14:solidFill>
          </w14:textFill>
        </w:rPr>
        <w:t>、</w:t>
      </w:r>
      <w:r>
        <w:rPr>
          <w:rFonts w:ascii="宋体" w:hAnsi="宋体" w:cs="宋体"/>
          <w:color w:val="000000" w:themeColor="text1"/>
          <w:kern w:val="0"/>
          <w:szCs w:val="21"/>
          <w:highlight w:val="none"/>
          <w14:textFill>
            <w14:solidFill>
              <w14:schemeClr w14:val="tx1"/>
            </w14:solidFill>
          </w14:textFill>
        </w:rPr>
        <w:t>SNMP</w:t>
      </w:r>
      <w:r>
        <w:rPr>
          <w:rFonts w:hint="eastAsia" w:ascii="宋体" w:hAnsi="宋体" w:cs="宋体"/>
          <w:color w:val="000000" w:themeColor="text1"/>
          <w:kern w:val="0"/>
          <w:szCs w:val="21"/>
          <w:highlight w:val="none"/>
          <w14:textFill>
            <w14:solidFill>
              <w14:schemeClr w14:val="tx1"/>
            </w14:solidFill>
          </w14:textFill>
        </w:rPr>
        <w:t>等）</w:t>
      </w:r>
    </w:p>
    <w:p>
      <w:pPr>
        <w:spacing w:line="360" w:lineRule="auto"/>
        <w:ind w:firstLine="525" w:firstLineChars="25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w:t>
      </w:r>
      <w:r>
        <w:rPr>
          <w:rFonts w:ascii="宋体" w:hAnsi="宋体" w:cs="宋体"/>
          <w:color w:val="000000" w:themeColor="text1"/>
          <w:kern w:val="0"/>
          <w:szCs w:val="21"/>
          <w:highlight w:val="none"/>
          <w14:textFill>
            <w14:solidFill>
              <w14:schemeClr w14:val="tx1"/>
            </w14:solidFill>
          </w14:textFill>
        </w:rPr>
        <w:t>24</w:t>
      </w:r>
      <w:r>
        <w:rPr>
          <w:rFonts w:hint="eastAsia" w:ascii="宋体" w:hAnsi="宋体" w:cs="宋体"/>
          <w:color w:val="000000" w:themeColor="text1"/>
          <w:kern w:val="0"/>
          <w:szCs w:val="21"/>
          <w:highlight w:val="none"/>
          <w14:textFill>
            <w14:solidFill>
              <w14:schemeClr w14:val="tx1"/>
            </w14:solidFill>
          </w14:textFill>
        </w:rPr>
        <w:t>小时录像、预设时间段录像、报警预录像、移动侦测录像以及联动触发录像等多种方式、支持硬盘存满时自动从头覆盖，循环录像、支持历史视频检索回放功能，可根据录像的类型、通道、时间等条件进行检索，回放速度可调。</w:t>
      </w:r>
    </w:p>
    <w:p>
      <w:pPr>
        <w:spacing w:line="360" w:lineRule="auto"/>
        <w:ind w:firstLine="420"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采用全数字化视频监控系统，实现全数字化的视频摄像、信号传输、存储及回放、管理及控制等功能。半球摄像机及快球摄像机由机房配电箱统一供电。并在机房设置视频管理及存储服务器，硬盘配置按照</w:t>
      </w:r>
      <w:r>
        <w:rPr>
          <w:rFonts w:ascii="宋体" w:hAnsi="宋体" w:cs="宋体"/>
          <w:color w:val="000000" w:themeColor="text1"/>
          <w:kern w:val="0"/>
          <w:szCs w:val="21"/>
          <w:highlight w:val="none"/>
          <w14:textFill>
            <w14:solidFill>
              <w14:schemeClr w14:val="tx1"/>
            </w14:solidFill>
          </w14:textFill>
        </w:rPr>
        <w:t>H.265</w:t>
      </w:r>
      <w:r>
        <w:rPr>
          <w:rFonts w:hint="eastAsia" w:ascii="宋体" w:hAnsi="宋体" w:cs="宋体"/>
          <w:color w:val="000000" w:themeColor="text1"/>
          <w:kern w:val="0"/>
          <w:szCs w:val="21"/>
          <w:highlight w:val="none"/>
          <w14:textFill>
            <w14:solidFill>
              <w14:schemeClr w14:val="tx1"/>
            </w14:solidFill>
          </w14:textFill>
        </w:rPr>
        <w:t>压缩格式实时清晰度存储，存储时长</w:t>
      </w:r>
      <w:r>
        <w:rPr>
          <w:rFonts w:ascii="宋体" w:hAnsi="宋体" w:cs="宋体"/>
          <w:color w:val="000000" w:themeColor="text1"/>
          <w:kern w:val="0"/>
          <w:szCs w:val="21"/>
          <w:highlight w:val="none"/>
          <w14:textFill>
            <w14:solidFill>
              <w14:schemeClr w14:val="tx1"/>
            </w14:solidFill>
          </w14:textFill>
        </w:rPr>
        <w:t>30</w:t>
      </w:r>
      <w:r>
        <w:rPr>
          <w:rFonts w:hint="eastAsia" w:ascii="宋体" w:hAnsi="宋体" w:cs="宋体"/>
          <w:color w:val="000000" w:themeColor="text1"/>
          <w:kern w:val="0"/>
          <w:szCs w:val="21"/>
          <w:highlight w:val="none"/>
          <w14:textFill>
            <w14:solidFill>
              <w14:schemeClr w14:val="tx1"/>
            </w14:solidFill>
          </w14:textFill>
        </w:rPr>
        <w:t>天。</w:t>
      </w:r>
    </w:p>
    <w:p>
      <w:pPr>
        <w:spacing w:line="360" w:lineRule="auto"/>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kern w:val="0"/>
          <w:szCs w:val="21"/>
          <w:highlight w:val="non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本次在综合指挥大厅出入口、</w:t>
      </w:r>
      <w:r>
        <w:rPr>
          <w:rFonts w:ascii="宋体" w:hAnsi="宋体" w:cs="宋体"/>
          <w:color w:val="000000" w:themeColor="text1"/>
          <w:kern w:val="0"/>
          <w:szCs w:val="21"/>
          <w:highlight w:val="none"/>
          <w14:textFill>
            <w14:solidFill>
              <w14:schemeClr w14:val="tx1"/>
            </w14:solidFill>
          </w14:textFill>
        </w:rPr>
        <w:t>110</w:t>
      </w:r>
      <w:r>
        <w:rPr>
          <w:rFonts w:hint="eastAsia" w:ascii="宋体" w:hAnsi="宋体" w:cs="宋体"/>
          <w:color w:val="000000" w:themeColor="text1"/>
          <w:kern w:val="0"/>
          <w:szCs w:val="21"/>
          <w:highlight w:val="none"/>
          <w14:textFill>
            <w14:solidFill>
              <w14:schemeClr w14:val="tx1"/>
            </w14:solidFill>
          </w14:textFill>
        </w:rPr>
        <w:t>接处警区、机房出入口区域设置半球摄像机；在每个会议室内设置半球摄像机。图侦、反诈、</w:t>
      </w:r>
      <w:r>
        <w:rPr>
          <w:rFonts w:ascii="宋体" w:hAnsi="宋体" w:cs="宋体"/>
          <w:color w:val="000000" w:themeColor="text1"/>
          <w:kern w:val="0"/>
          <w:szCs w:val="21"/>
          <w:highlight w:val="none"/>
          <w14:textFill>
            <w14:solidFill>
              <w14:schemeClr w14:val="tx1"/>
            </w14:solidFill>
          </w14:textFill>
        </w:rPr>
        <w:t>110</w:t>
      </w:r>
      <w:r>
        <w:rPr>
          <w:rFonts w:hint="eastAsia" w:ascii="宋体" w:hAnsi="宋体" w:cs="宋体"/>
          <w:color w:val="000000" w:themeColor="text1"/>
          <w:kern w:val="0"/>
          <w:szCs w:val="21"/>
          <w:highlight w:val="none"/>
          <w14:textFill>
            <w14:solidFill>
              <w14:schemeClr w14:val="tx1"/>
            </w14:solidFill>
          </w14:textFill>
        </w:rPr>
        <w:t>区、情报合成区等公共办公室设置半球摄像机（带拾音器）。</w:t>
      </w:r>
    </w:p>
    <w:p>
      <w:pPr>
        <w:spacing w:line="360" w:lineRule="auto"/>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kern w:val="0"/>
          <w:szCs w:val="21"/>
          <w:highlight w:val="none"/>
          <w14:textFill>
            <w14:solidFill>
              <w14:schemeClr w14:val="tx1"/>
            </w14:solidFill>
          </w14:textFill>
        </w:rPr>
        <w:t xml:space="preserve">   2</w:t>
      </w:r>
      <w:r>
        <w:rPr>
          <w:rFonts w:hint="eastAsia" w:ascii="宋体" w:hAnsi="宋体" w:cs="宋体"/>
          <w:color w:val="000000" w:themeColor="text1"/>
          <w:kern w:val="0"/>
          <w:szCs w:val="21"/>
          <w:highlight w:val="none"/>
          <w14:textFill>
            <w14:solidFill>
              <w14:schemeClr w14:val="tx1"/>
            </w14:solidFill>
          </w14:textFill>
        </w:rPr>
        <w:t>）门禁系统</w:t>
      </w:r>
    </w:p>
    <w:p>
      <w:pPr>
        <w:spacing w:line="360" w:lineRule="auto"/>
        <w:ind w:firstLine="525" w:firstLineChars="25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门禁系统、开</w:t>
      </w:r>
      <w:r>
        <w:rPr>
          <w:rFonts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关门状态，监测刷卡记录，并远程控制开门人员授权，权限组划分。</w:t>
      </w:r>
    </w:p>
    <w:p>
      <w:pPr>
        <w:spacing w:line="360" w:lineRule="auto"/>
        <w:ind w:firstLine="525" w:firstLineChars="25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可对门控器进行远程设置操作支持集中、远程发卡功能。</w:t>
      </w:r>
    </w:p>
    <w:p>
      <w:pPr>
        <w:spacing w:line="360" w:lineRule="auto"/>
        <w:ind w:firstLine="525" w:firstLineChars="25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采用人脸</w:t>
      </w:r>
      <w:r>
        <w:rPr>
          <w:rFonts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刷卡</w:t>
      </w:r>
      <w:r>
        <w:rPr>
          <w:rFonts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密码相结合的管理方式。当发生火灾时与消防联动，能够进行强切，实现断电开门。</w:t>
      </w:r>
      <w:r>
        <w:rPr>
          <w:rFonts w:ascii="宋体" w:hAnsi="宋体" w:cs="宋体"/>
          <w:color w:val="000000" w:themeColor="text1"/>
          <w:kern w:val="0"/>
          <w:szCs w:val="21"/>
          <w:highlight w:val="non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门禁管理系统可以通过人脸、密码或刷卡信息确认出入人员的身份，对相关区域出入人员的身份进行识别和管理，并对出入人员、出入时间、出入位置进行登记和存储。</w:t>
      </w:r>
    </w:p>
    <w:p>
      <w:pPr>
        <w:spacing w:line="360" w:lineRule="auto"/>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kern w:val="0"/>
          <w:szCs w:val="21"/>
          <w:highlight w:val="non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门禁设置原则如下：机房出入口、综合指挥大厅出入口；技侦、网安、反诈、图侦、会议室、情报合成区、</w:t>
      </w:r>
      <w:r>
        <w:rPr>
          <w:rFonts w:ascii="宋体" w:hAnsi="宋体" w:cs="宋体"/>
          <w:color w:val="000000" w:themeColor="text1"/>
          <w:kern w:val="0"/>
          <w:szCs w:val="21"/>
          <w:highlight w:val="none"/>
          <w14:textFill>
            <w14:solidFill>
              <w14:schemeClr w14:val="tx1"/>
            </w14:solidFill>
          </w14:textFill>
        </w:rPr>
        <w:t>110</w:t>
      </w:r>
      <w:r>
        <w:rPr>
          <w:rFonts w:hint="eastAsia" w:ascii="宋体" w:hAnsi="宋体" w:cs="宋体"/>
          <w:color w:val="000000" w:themeColor="text1"/>
          <w:kern w:val="0"/>
          <w:szCs w:val="21"/>
          <w:highlight w:val="none"/>
          <w14:textFill>
            <w14:solidFill>
              <w14:schemeClr w14:val="tx1"/>
            </w14:solidFill>
          </w14:textFill>
        </w:rPr>
        <w:t>接处警区、指挥中心出入口。门禁管理系统需接入情指中心的动环显示系统。</w:t>
      </w:r>
    </w:p>
    <w:p>
      <w:pPr>
        <w:spacing w:line="360" w:lineRule="auto"/>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kern w:val="0"/>
          <w:szCs w:val="21"/>
          <w:highlight w:val="non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前段设备均通过</w:t>
      </w:r>
      <w:r>
        <w:rPr>
          <w:rFonts w:ascii="宋体" w:hAnsi="宋体" w:cs="宋体"/>
          <w:color w:val="000000" w:themeColor="text1"/>
          <w:kern w:val="0"/>
          <w:szCs w:val="21"/>
          <w:highlight w:val="none"/>
          <w14:textFill>
            <w14:solidFill>
              <w14:schemeClr w14:val="tx1"/>
            </w14:solidFill>
          </w14:textFill>
        </w:rPr>
        <w:t>TCP/IP</w:t>
      </w:r>
      <w:r>
        <w:rPr>
          <w:rFonts w:hint="eastAsia" w:ascii="宋体" w:hAnsi="宋体" w:cs="宋体"/>
          <w:color w:val="000000" w:themeColor="text1"/>
          <w:kern w:val="0"/>
          <w:szCs w:val="21"/>
          <w:highlight w:val="none"/>
          <w14:textFill>
            <w14:solidFill>
              <w14:schemeClr w14:val="tx1"/>
            </w14:solidFill>
          </w14:textFill>
        </w:rPr>
        <w:t>接入到设备间，实现统一管理。</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详细设备参数详见机房工程。</w:t>
      </w:r>
    </w:p>
    <w:p>
      <w:pPr>
        <w:pStyle w:val="4"/>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3.7智能会议系统</w:t>
      </w:r>
    </w:p>
    <w:p>
      <w:pPr>
        <w:pStyle w:val="5"/>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3.7.1系统概述</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会议系统根据其具体需求，选择配置会议讨论发言系统、无纸化会议系统、音响扩声系统、显示系统、视频会议系统、电子桌牌系统。         </w:t>
      </w:r>
    </w:p>
    <w:p>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1、会议讨论发言系统：包括自由发言、讨论发言、申请发言、顺序发言 、指定发言等功能，主席单元具有优先发言权。</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无纸化会议系统：可根据会议情况选择人员管理、会议议程、议题管理、会议纪要、投票设置、会议交流、集中控制、人员安排等功能模块。实现智能签到、文件分发、浏览阅读、文件批注、投票表决、会议交流等功能。</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3、音响扩声系统：考虑到声场的强度和均匀度，系统配置音响扩声系统音箱、功放等，同时配置音源的处理设备。</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4、显示系统：为了让每个与会者能清晰的看到会议显示内容，选择LED屏、液晶电视、投影机等作为辅助显示信号，从而满足用户技术要求。</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5、视频会议系统：可实现分会场与主会场均可召开高清视频会议，同时实现图文共现，实现远程视频会议、培训及视频协作等功能。</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6、电子桌牌：可显示人名等一些参会信息。</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在指挥大厅设置会议讨论发言、音响扩声、显示系统、电子桌牌、视频会议系统（高清视频指挥系统、应急管理会议系统）。</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在决策室设置会议讨论发言、无纸化会议、音响扩声、显示系统、视频会议（高清视频指挥系统、应急管理会议系统）系统、电子桌牌。在内部会议室设置音响扩声系统、显示系统。</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在110接警区、图侦室、情报合成等区域设置显示系统。</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3.7.2技术规格、参数及要求</w:t>
      </w:r>
    </w:p>
    <w:p>
      <w:pPr>
        <w:spacing w:line="360" w:lineRule="auto"/>
        <w:rPr>
          <w:rFonts w:ascii="宋体" w:hAnsi="宋体" w:cs="宋体"/>
          <w:color w:val="000000" w:themeColor="text1"/>
          <w:szCs w:val="21"/>
          <w:highlight w:val="none"/>
          <w14:textFill>
            <w14:solidFill>
              <w14:schemeClr w14:val="tx1"/>
            </w14:solidFill>
          </w14:textFill>
        </w:rPr>
      </w:pPr>
    </w:p>
    <w:tbl>
      <w:tblPr>
        <w:tblStyle w:val="13"/>
        <w:tblW w:w="4945" w:type="pct"/>
        <w:tblInd w:w="108" w:type="dxa"/>
        <w:tblLayout w:type="fixed"/>
        <w:tblCellMar>
          <w:top w:w="0" w:type="dxa"/>
          <w:left w:w="108" w:type="dxa"/>
          <w:bottom w:w="0" w:type="dxa"/>
          <w:right w:w="108" w:type="dxa"/>
        </w:tblCellMar>
      </w:tblPr>
      <w:tblGrid>
        <w:gridCol w:w="410"/>
        <w:gridCol w:w="306"/>
        <w:gridCol w:w="1559"/>
        <w:gridCol w:w="136"/>
        <w:gridCol w:w="6442"/>
        <w:gridCol w:w="454"/>
        <w:gridCol w:w="439"/>
      </w:tblGrid>
      <w:tr>
        <w:tblPrEx>
          <w:tblCellMar>
            <w:top w:w="0" w:type="dxa"/>
            <w:left w:w="108" w:type="dxa"/>
            <w:bottom w:w="0" w:type="dxa"/>
            <w:right w:w="108" w:type="dxa"/>
          </w:tblCellMar>
        </w:tblPrEx>
        <w:trPr>
          <w:trHeight w:val="402" w:hRule="atLeast"/>
        </w:trPr>
        <w:tc>
          <w:tcPr>
            <w:tcW w:w="36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bookmarkStart w:id="82" w:name="_Hlk34513043"/>
            <w:r>
              <w:rPr>
                <w:rFonts w:hint="eastAsia" w:ascii="宋体" w:hAnsi="宋体" w:cs="宋体"/>
                <w:color w:val="000000" w:themeColor="text1"/>
                <w:kern w:val="0"/>
                <w:szCs w:val="21"/>
                <w:highlight w:val="none"/>
                <w14:textFill>
                  <w14:solidFill>
                    <w14:schemeClr w14:val="tx1"/>
                  </w14:solidFill>
                </w14:textFill>
              </w:rPr>
              <w:t>序号</w:t>
            </w:r>
          </w:p>
        </w:tc>
        <w:tc>
          <w:tcPr>
            <w:tcW w:w="800"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设备名称</w:t>
            </w:r>
          </w:p>
        </w:tc>
        <w:tc>
          <w:tcPr>
            <w:tcW w:w="3375"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规格参数</w:t>
            </w:r>
          </w:p>
        </w:tc>
        <w:tc>
          <w:tcPr>
            <w:tcW w:w="2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w:t>
            </w:r>
          </w:p>
        </w:tc>
        <w:tc>
          <w:tcPr>
            <w:tcW w:w="2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rPr>
          <w:trHeight w:val="402" w:hRule="atLeast"/>
        </w:trPr>
        <w:tc>
          <w:tcPr>
            <w:tcW w:w="1167" w:type="pct"/>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一、情指中心大厅</w:t>
            </w:r>
          </w:p>
        </w:tc>
        <w:tc>
          <w:tcPr>
            <w:tcW w:w="3375"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50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1、情指中心大厅扩声系统</w:t>
            </w:r>
          </w:p>
        </w:tc>
      </w:tr>
      <w:tr>
        <w:tblPrEx>
          <w:tblCellMar>
            <w:top w:w="0" w:type="dxa"/>
            <w:left w:w="108" w:type="dxa"/>
            <w:bottom w:w="0" w:type="dxa"/>
            <w:right w:w="108" w:type="dxa"/>
          </w:tblCellMar>
        </w:tblPrEx>
        <w:trPr>
          <w:trHeight w:val="255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线阵音箱</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1.功率≥700W；标称阻抗：8Ω。</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2.频率范围：60Hz-20KHz，灵敏度≥104dB (1M/1W )。</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3.低频扬声器：10" x 2，高频扬声器：75mm（3"）压缩驱动器×1，水平覆盖角(-6dB)≥110°；垂直覆盖角(-6dB)≥随线阵尺寸和倾斜角度而变化。  </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4.箱体采用进口桦木制作、耐磨喷漆处理；由二个10寸（250mm）的钕磁低频驱动器以及一个75mm钕磁高频驱动器组成。</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5.采用吊装组合线阵设计，允许0-14度范围调整音箱覆盖区域；具备组合紧凑、轻便、工程组装简便快捷等优点。专业吊挂件组合，简易快捷的吊挂方式，易于音响工程装配。</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r>
      <w:tr>
        <w:tblPrEx>
          <w:tblCellMar>
            <w:top w:w="0" w:type="dxa"/>
            <w:left w:w="108" w:type="dxa"/>
            <w:bottom w:w="0" w:type="dxa"/>
            <w:right w:w="108" w:type="dxa"/>
          </w:tblCellMar>
        </w:tblPrEx>
        <w:trPr>
          <w:trHeight w:val="109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线阵音箱</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1.音箱类型为超低频音箱，低频扬声器：18"*1。</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2.功率≥800W、标称阻抗：8Ω</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3.频率范围：40Hz-1KHz，灵敏度≥101dB(1M/1W)。</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154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专业音箱</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1.采用拼接排列扬声器设计，6只3寸意大利进口全频单元；箱体采用12mm夹板制作。</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2.阻抗：8Ω、频响：80Hz-20KHz</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3.额定功率：150W</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4.灵敏度：95dB/W/M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63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支架</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固定面板尺寸（长*宽）： 140mm*65mm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箱体固定面板尺寸（长*宽）： 128mm*70mm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344"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专业功放</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1.设备支持开机软启动，支持高品质变压器和低阻大容量电解滤波，内置30Hz/50Hz高通滤波器；支持智能控制强制散热设计，内置智能压限系统。</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2.支持立体声或桥接、并行工作模式，输出功率支持立体声/并联8Ω×2:1200W×2.立体声/并联4Ω×2:1800W×2.立体声/并联2Ω×2:2700W×2.桥接8Ω:3600W、桥接4Ω:5400W。</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3.采用XLR/TRS接口输入接口，支持过流保护、直流保护、短路保护等功能，具有电源 、保护、失真指示灯。</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4.信噪比≥100dB、频响:20Hz-20KHz；分离度≥80dB、失真度≤0.05%。</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r>
      <w:tr>
        <w:tblPrEx>
          <w:tblCellMar>
            <w:top w:w="0" w:type="dxa"/>
            <w:left w:w="108" w:type="dxa"/>
            <w:bottom w:w="0" w:type="dxa"/>
            <w:right w:w="108" w:type="dxa"/>
          </w:tblCellMar>
        </w:tblPrEx>
        <w:trPr>
          <w:trHeight w:val="693"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专业功放</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1.采用智能控制强制散热设计，具有风机噪音小，散热效率高等特点；具有完善可靠的安全保护措施和工作状态指示（短路、过载、直流和过热保护，变压器过热保护），让用户放心使用。</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2.输出功率:立体声/并联8Ω:350W*2.立体声/并联4Ω:530W*2.桥接8Ω:1060W。</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3.采用标准XLR+TRS1/4” 复合多功能输入接口，更加方便不同用户需求。智能削峰限幅器，控制功率模块及扬声器系统在安全范围内工作。</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4.信噪比≥90dB、频响:20Hz-20KHz(+0dB/-2dB)；分离度≥80dB、失真度≤0.05%。</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83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一拖四无线话筒</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7.系统指标：频率范围： 640-690MHZ  740-790MHz  807-830MHz、频道数目： 500个、音频响应 ：80HZ-18KHZ(±2dB)、信噪比： &gt;105dB、灵敏度 ：–105 dBm for 12 dB SINAD, typical、有效使用距离 ：空旷50米</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8.接收器指标：平衡200Ω 负载-13dBV，非平衡600Ω、音频输出阻抗： 平衡200Ω；1路合并非平衡600Ω；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9.麦克风指标：输出功率 ：高功率30mW；低功率3mW</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10.系统包括有一台主机+四台桌面式无线麦克</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124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天线分配器</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1.可支持为4台一拖二真分集话筒自动选讯接收机的多频道系统共用一对天线和一个电源，简化天线装配工程，提升接收距离及效能。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2.频带范围：640~960MHz，输出/入增益+1.0dB(频段中心)，输出/入阻抗：50Ω，频宽：320MHz。</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1283"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话筒天线</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2.最大功率支持50W，半功率波瓣宽度：H:76°±5°，V:76°±5°，前后比≥23dB，。</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3.接头类型BNC，输入阻抗50Ω，雷电保护：直流接地DC。</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41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数字媒体矩阵</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1.数字音频处理器支持≥16路平衡式话筒/线路输入通道，采用裸线接口端子，平衡接法；支持≥16路平衡式线路输出，采用裸线接口端子，平衡接法。</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2.输入通道支持前级放大、信号发生器、扩展器、压缩器、5段参量均衡、AM自动混音功能、AFC自适应反馈消除、AEC回声消除、ANC噪声消除。</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3.输出通道支持31段参量均衡器、延时器、分频器、高低通滤波器、限幅器。</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4.支持24bit/48KHz卓越的高品质声音，支持输入通道48V幻像供电，频率响应：20Hz-20KHz，总谐波失真＜0.002% @1KHz ,4dBu，数/模动态范围(A-计权)：120dB；最大输出电平≥+24dBu，最大输入电平≥+24dBu。</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5.支持通过ipad或iPhone或安卓手机APP软件进行操作控制、切换8个不同场景。</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★6.配置2路Dante协议接口，支持低延时的DANTE网络音频传输，16路发送，16路接收通道，可实现网络音频扩展。面板具备USB接口。（提供设备接口图佐证，并盖生产厂商公章）</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7.配置双向RS-232接口，可用于控制外部设备；配置RS-485接口，可实现自动摄像跟踪功能。配置8通道可编程GPIO控制接口（可自定义输入输出）。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8.支持断电自动保护记忆功能。支持通道拷贝、粘贴、联控功能。支持通过浏览器访问设备，下载自带管理控制软件；软件界面直观、图形化，可工作在XP/Windows7.8.10等系统环境下。</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552"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抑制器</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采用96KHz采样频率，32-bit DSP处理器，24-bitA/D及D/A转换，支持数字信号输入输出通道提供coaxial，AES及光纤接口。</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2.支持144 x 32的LCD显示屏显示参数功能，提供4段LED显示输出电平；每通道24个LED灯显示啸叫抑制状态数量；</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1936"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电源时序器</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1.支持8通道电源时序打开/关闭，支持远程控制（上电+24V直流信号）8通道电源时序打开/关闭—当电源开关锁处于off位置时有效。</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2.单个通道最大负载功率3500W，所有通道负载总功率达6000W，输入连接器：大功率线码式电源连接器。支持RS232串口通讯。</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615" w:hRule="atLeast"/>
        </w:trPr>
        <w:tc>
          <w:tcPr>
            <w:tcW w:w="4542" w:type="pct"/>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2、情指中心大厅网络及控制系统</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957"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48口交换机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千兆电口≥48个，千兆光接口≥4个，交换容量≥336Gbps，包转发率≥87Mpps，最大堆叠台数9台，最大堆叠带宽16G</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91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无线AP</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802.11ac、Wave2、双频、双流、1300M、GE*2、内置天线，支持802.3af/802.3at及本地供电，内置天线系统(工作频段：2.4G和5G，最高增益可达3dBi)</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blPrEx>
          <w:tblCellMar>
            <w:top w:w="0" w:type="dxa"/>
            <w:left w:w="108" w:type="dxa"/>
            <w:bottom w:w="0" w:type="dxa"/>
            <w:right w:w="108" w:type="dxa"/>
          </w:tblCellMar>
        </w:tblPrEx>
        <w:trPr>
          <w:trHeight w:val="402"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IPAD</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10.1寸（128G WLAN版）</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无线AP授权</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无线控制器实配16AP管理授</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774"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无线控制器</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包转发率≥1.6Gbps ，最大管理48个AP</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83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智能控制主机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1、液晶显示前面板；</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2、网络接口：1*RJ-45网络接口，100M Base-T接口；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3、串口：8个独立DSUB9接口；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4、可动态配置为RS232/RS485；</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5、红外发射：4个独立红外发射棒接口；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6、红外接收：1个；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7、可支持红外遥控学习；</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8、继电器8个；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9、I/O：8个，可配置为input或output</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10、温度：0-40℃；</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11、湿度：10-90%，无冷凝；</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12、海拔：2000米；</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13、供电：90V~260V交流；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14、功耗：﹤20瓦；</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15、全网络控制；</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16、分布式布置，可按需要无限扩展接口；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17、支持可视化编程，可支持多设备间智能联动；</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18、控制网络协议： DHCP、UDP、TCP/IP。</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台式电脑</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i5-8400 8G 1T+128GSSD 2G独显</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4542" w:type="pct"/>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3、指挥中心会讨发言系统</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168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会议系统主机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kern w:val="0"/>
                <w:szCs w:val="21"/>
                <w:highlight w:val="none"/>
                <w14:textFill>
                  <w14:solidFill>
                    <w14:schemeClr w14:val="tx1"/>
                  </w14:solidFill>
                </w14:textFill>
              </w:rPr>
              <w:t>1.采用5GHz的通信频段，拥有更强的抗干扰能力，提供更大的带宽和传输速度，并不受移动电话和其他蓝牙设备干扰，确保实现最佳的信号接收。采用128位AES加密技术，支持WPA/WPA2无线安全技术，防止窃听和非授权访问，提供更高的会议系统机密性。</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2.内置高性能双CPU处理器，支持8KHz至96KHz范围内的采样速率，并支持数字音量控制。</w:t>
            </w:r>
            <w:r>
              <w:rPr>
                <w:rFonts w:hint="eastAsia" w:ascii="宋体" w:hAnsi="宋体" w:cs="宋体"/>
                <w:color w:val="000000" w:themeColor="text1"/>
                <w:kern w:val="0"/>
                <w:szCs w:val="21"/>
                <w:highlight w:val="none"/>
                <w14:textFill>
                  <w14:solidFill>
                    <w14:schemeClr w14:val="tx1"/>
                  </w14:solidFill>
                </w14:textFill>
              </w:rPr>
              <w:br w:type="textWrapping"/>
            </w:r>
            <w:r>
              <w:rPr>
                <w:rFonts w:ascii="宋体" w:hAnsi="宋体" w:cs="宋体"/>
                <w:color w:val="000000" w:themeColor="text1"/>
                <w:kern w:val="0"/>
                <w:szCs w:val="21"/>
                <w:highlight w:val="none"/>
                <w14:textFill>
                  <w14:solidFill>
                    <w14:schemeClr w14:val="tx1"/>
                  </w14:solidFill>
                </w14:textFill>
              </w:rPr>
              <w:t>3.具有≥4.3英寸触摸屏，具有WIFI网络接口，可以通过连接POE网络交换机扩充无线AP数量，提供更大的无线覆盖范围。具有1-4路会议单元输出接口，具有超大系统容量，系统最大支持≥4096台有线会议单元，≥300台无线会议单元。系统最大支持同时开≥8个有线话筒和≥6个无线话筒。</w:t>
            </w:r>
            <w:r>
              <w:rPr>
                <w:rFonts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w:t>
            </w:r>
            <w:r>
              <w:rPr>
                <w:rFonts w:ascii="宋体" w:hAnsi="宋体" w:cs="宋体"/>
                <w:color w:val="000000" w:themeColor="text1"/>
                <w:kern w:val="0"/>
                <w:szCs w:val="21"/>
                <w:highlight w:val="none"/>
                <w14:textFill>
                  <w14:solidFill>
                    <w14:schemeClr w14:val="tx1"/>
                  </w14:solidFill>
                </w14:textFill>
              </w:rPr>
              <w:t>4.支持WiFi</w:t>
            </w:r>
            <w:r>
              <w:rPr>
                <w:rFonts w:hint="eastAsia" w:ascii="宋体" w:hAnsi="宋体" w:cs="宋体"/>
                <w:color w:val="000000" w:themeColor="text1"/>
                <w:kern w:val="0"/>
                <w:szCs w:val="21"/>
                <w:highlight w:val="none"/>
                <w14:textFill>
                  <w14:solidFill>
                    <w14:schemeClr w14:val="tx1"/>
                  </w14:solidFill>
                </w14:textFill>
              </w:rPr>
              <w:t>会议系统和全数字会议系统同时使用（有线会议单元和</w:t>
            </w:r>
            <w:r>
              <w:rPr>
                <w:rFonts w:ascii="宋体" w:hAnsi="宋体" w:cs="宋体"/>
                <w:color w:val="000000" w:themeColor="text1"/>
                <w:kern w:val="0"/>
                <w:szCs w:val="21"/>
                <w:highlight w:val="none"/>
                <w14:textFill>
                  <w14:solidFill>
                    <w14:schemeClr w14:val="tx1"/>
                  </w14:solidFill>
                </w14:textFill>
              </w:rPr>
              <w:t>WiFi</w:t>
            </w:r>
            <w:r>
              <w:rPr>
                <w:rFonts w:hint="eastAsia" w:ascii="宋体" w:hAnsi="宋体" w:cs="宋体"/>
                <w:color w:val="000000" w:themeColor="text1"/>
                <w:kern w:val="0"/>
                <w:szCs w:val="21"/>
                <w:highlight w:val="none"/>
                <w14:textFill>
                  <w14:solidFill>
                    <w14:schemeClr w14:val="tx1"/>
                  </w14:solidFill>
                </w14:textFill>
              </w:rPr>
              <w:t>会议单元同时使用）。具有一键关机所有无线单元功能。具有</w:t>
            </w:r>
            <w:r>
              <w:rPr>
                <w:rFonts w:ascii="宋体" w:hAnsi="宋体" w:cs="宋体"/>
                <w:color w:val="000000" w:themeColor="text1"/>
                <w:kern w:val="0"/>
                <w:szCs w:val="21"/>
                <w:highlight w:val="none"/>
                <w14:textFill>
                  <w14:solidFill>
                    <w14:schemeClr w14:val="tx1"/>
                  </w14:solidFill>
                </w14:textFill>
              </w:rPr>
              <w:t>1路USB接口，支持插入U盘设备进行录音功能，支持播放背景音乐功能。具有≥两路功放输出接口，可接驳两个定阻音箱。（提供第三方权威机构出具的检测报告，对该项功能加以佐证）</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5.遵循规范：IEC60914，兼容GBT15381-94标准；支持同声传译功能，支持四种话筒管理模式：FIFO/NORMAL/VOICE(声控)/APPLY。具有1路EXTENSION 口，可用于连接扩展主机。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具有≥1路RS-485接口，支持一台摄像机实现摄像跟踪。具有≥1路消防报警联动触发接口，在消防紧急状况下可为会议主机面板触摸屏、单元机屏、PC软件提供火灾报警信息。具有≥1路平衡信号和≥1路非平衡信号输入接口，≥1路平衡信号和≥1路非平衡信号输出接口。（提供第三方权威机构出具的检测报告，对该项功能加以佐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7.PC软件端可查看无线单元的电池电量、WiFi信号等信息状态。支持中英文语言界面切换。</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8.具有丰富的会议应用功能，支持投票表决功能、会议签到功能、5段EQ调节功能、广播短消息、茶水申请服务等，支持会议信息导出，满足日常会议应用所需。</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9.频率响应范围20Hz~20KHz，总谐波失真&lt;0.05%，信噪比&gt;85dB(A)，动态范围&gt;80dB。</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23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会议主席单元</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1.话筒单元具有数模双备份功能，一条数字传输链路；一条模拟备份链路。当数字传输链路出现故障时，自动无缝切换到模拟备份链路。</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2.支持触摸按键签到功能。具备优先权功能，可关闭正在发言的所有代表话筒。具有声控功能，可智能打开话筒。具有发言计时和定时发言功能。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★3.支持5段EQ调节功能，可针对发言者的声音特点调节不同的音效，直至达到完美的效果。（提供功能界面截图佐证）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4.支持话筒单元脱离会议主机单独使用，具备简单的开关唛功能。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5.具有反馈抑制功能，可有效地防止啸叫，支持POE供电或幻象电源48V供电。</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6.遵循规范：IEC60914，采用心型镀金电容式双音头，频率响应：80Hz～16KHz，灵敏度≥-38 dBV/Pa，信噪比&gt;80dB(A)，动态范围&gt;80dB，THD&lt;0.1%。</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1266"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会议代表单元</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1.话筒单元具有数模双备份功能，一条数字传输链路；一条模拟备份链路。当数字传输链路出现故障时，自动无缝切换到模拟备份链路。</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2.支持触摸按键签到功能。具有声控功能，可智能打开话筒。具有发言计时和定时发言功能。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3.支持5段EQ调节功能，可针对发言者的声音特点调节不同的音效，直至达到完美的效果。</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4.支持话筒单元脱离会议主机单独使用，具备简单的开关唛功能。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5.具有反馈抑制功能，可有效地防止啸叫，支持POE供电或幻象电源48V供电。</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6.遵循规范：IEC60914，采用心型镀金电容式双音头，频率响应：80Hz～16KHz，灵敏度≥-38 dBV/Pa，信噪比&gt;80dB(A)，动态范围&gt;80dB，THD&lt;0.1%。</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w:t>
            </w:r>
          </w:p>
        </w:tc>
      </w:tr>
      <w:tr>
        <w:tblPrEx>
          <w:tblCellMar>
            <w:top w:w="0" w:type="dxa"/>
            <w:left w:w="108" w:type="dxa"/>
            <w:bottom w:w="0" w:type="dxa"/>
            <w:right w:w="108" w:type="dxa"/>
          </w:tblCellMar>
        </w:tblPrEx>
        <w:trPr>
          <w:trHeight w:val="61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多媒体信息盒</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1个多功能电源接口、2个RJ45网络、1个3.5音频、1个HDMI高清视频接口、一个功能按键</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402"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多媒体地插</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电源、HDMI、音频</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blPrEx>
          <w:tblCellMar>
            <w:top w:w="0" w:type="dxa"/>
            <w:left w:w="108" w:type="dxa"/>
            <w:bottom w:w="0" w:type="dxa"/>
            <w:right w:w="108" w:type="dxa"/>
          </w:tblCellMar>
        </w:tblPrEx>
        <w:trPr>
          <w:trHeight w:val="402"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音频地座</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卡龙头接口</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402" w:hRule="atLeast"/>
        </w:trPr>
        <w:tc>
          <w:tcPr>
            <w:tcW w:w="4542" w:type="pct"/>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4、指挥中心视频跟踪系统</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3528"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摄像机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1.高清摄像机具备≥20倍光学变倍镜头，支持≥10倍数字变焦；采用1/2.8英寸、≥207万有效像素的高品质HD CMOS传感器。</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2.镜头支持≥55.4°高品质超广角；镜头焦距f＝4.7～94mm, 光圈系数F1.6 ～ F3.5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3.支持1080P60/50/30/25/59.94/29.97；1080I60/50/59.94；720P60/50/30/25/59.94/29.97分辨率，支持输出帧率60帧/秒。</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4.具备1路DVI（HDMI）高清视频输出接口、3G-SDI、有线LAN，3G-SDI支持1080P60；视频编码标准：支持H.265/H.264视频压缩；支持高达1920x1080分辨率60帧/秒压缩；支持2路1920x1080分辨率30帧/秒压缩。</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5.支持ONVIF、GB/T28181.RTSP、RTMP协议、RTP组播，同时支持RTMP推送模式，可实现轻松链接流媒体服务器(Wowza、FMS)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6.支持RS232串口远程对摄像机进行控制（带环通RS-232输出），支持VISCA、PELCO-D、PELCO-P协议，支持自动识别协议。支持网络全命令VISCA控制协议。支持多达255个预置位(遥控器设置调用为10个)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7.水平视场角：2.9°～55.4°；支持水平转动范围：-170°～+170°，垂直转动范围：-30°～+90°，水平转动速度范围：0.1 ～100°/秒 ，垂直转动速度范围：0.1～45°/秒。</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8.采用先进的2D、3D降噪技术，图像信噪比＞55dB；支持16000、32000、44100、48000采样频率，支持AAC、MP3.G711音频编码。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9.最低照度：0.5Lux(F1.8, AGC ON)；支持低功耗休眠/唤醒，休眠时功耗低于400mW</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402" w:hRule="atLeast"/>
        </w:trPr>
        <w:tc>
          <w:tcPr>
            <w:tcW w:w="4542" w:type="pct"/>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5、指挥中心电子桌牌系统</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693"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电子桌牌</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1.桌面升降式智能电子桌牌采用双屏7英寸墨水屏显示屏设计</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2.内置高性能处理器和处理软件，可同步显示参会人员姓名、职称、会徽会标、会议主题等参会者信息。</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3.采用全铝结构，薄处不大于4毫米</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4.设备的表面处理为阳极氧化处理，色泽光亮。</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5.高清显示屏分辨率：1024*600P。</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6.可通过中控软件进行集中控制，可通过遥控或主机进行控制，一键可让室内所有的桌牌都上升或下降。</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7.桌牌在上升后，屏幕自动供电，下降后，屏幕自行断电，节约环保。</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8.更改信息简易方便，U盘即可导入信息。</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9.主屏幕亮度：400cd/㎡</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10.可视角度：45/45/20/40(Typ.)</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w:t>
            </w:r>
          </w:p>
        </w:tc>
      </w:tr>
      <w:tr>
        <w:tblPrEx>
          <w:tblCellMar>
            <w:top w:w="0" w:type="dxa"/>
            <w:left w:w="108" w:type="dxa"/>
            <w:bottom w:w="0" w:type="dxa"/>
            <w:right w:w="108" w:type="dxa"/>
          </w:tblCellMar>
        </w:tblPrEx>
        <w:trPr>
          <w:trHeight w:val="129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触屏软件</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1、对电子桌牌进行集中管控；</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2、支持更改桌牌背景，可选单色背景或更换图片背景方式显示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3、支持对桌牌显示内容的格式进行调整，包括字体、位置等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4、在线更新桌牌显示内容</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570" w:hRule="atLeast"/>
        </w:trPr>
        <w:tc>
          <w:tcPr>
            <w:tcW w:w="1237" w:type="pct"/>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6、指挥中心智能讲台</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61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智能讲台</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内置一体机，集成21.5英寸电容触摸屏，内置高性能主机，内建无线网卡，台面接口，高度电动升降，集成专业演讲报告软件。</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69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线缆辅材</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项</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1237" w:type="pct"/>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二、决策室：</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1237" w:type="pct"/>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1、决策室扩声系统</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114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专业音箱</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1.采用拼接排列扬声器设计，12只3寸意大利进口全频单元；箱体采用12mm夹板制作。</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2.阻抗：6Ω、频响：80Hz-20KHz</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3.额定功率：300W</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4.灵敏度：97dB/W/M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115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吸顶音响</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1、额定功率≥100W，阻抗：8Ω，灵敏度(1W/1M)≥92dB，频率响应(-10dB)：60Hz-20KHz，</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2、安装开孔尺寸：250mm。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76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支架</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固定面板尺寸（长*宽）： 140mm*65mm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箱体固定面板尺寸（长*宽）： 128mm*70mm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189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专业功放</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2.支持立体声或桥接、并行工作模式，输出功率支持立体声/并联8Ω×2：500W×2，立体声/并联4Ω×2：750W×2，立体声/并联2Ω×2：1125W×2，桥接8Ω：1500W，桥接4Ω：2200W。</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4.信噪比≥100dB、频响:20Hz-20KHz；分离度≥80dB、失真度≤0.05%。</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983"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数字媒体矩阵</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1.数字音频处理器支持≥16路平衡式话筒/线路输入通道，采用裸线接口端子，平衡接法；支持≥16路平衡式线路输出，采用裸线接口端子，平衡接法。</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2.输入通道支持前级放大、信号发生器、扩展器、压缩器、5段参量均衡、AM自动混音功能、AFC自适应反馈消除、AEC回声消除、ANC噪声消除。</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3.输出通道支持31段参量均衡器、延时器、分频器、高低通滤波器、限幅器。</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4.支持24bit/48KHz卓越的高品质声音，支持输入通道48V幻像供电，频率响应：20Hz-20KHz，总谐波失真＜0.002% @1KHz ,4dBu，数/模动态范围(A-计权)：120dB；最大输出电平≥+24dBu，最大输入电平≥+24dBu。</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5.支持通过ipad或iPhone或安卓手机APP软件进行操作控制、切换8个不同场景。</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6.配置2路Dante协议接口，支持低延时的DANTE网络音频传输，16路发送，16路接收通道，可实现网络音频扩展。面板具备USB接口。（提供设备接口图佐证，并盖生产厂商公章）</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7.配置双向RS-232接口，可用于控制外部设备；配置RS-485接口，可实现自动摄像跟踪功能。配置8通道可编程GPIO控制接口（可自定义输入输出）。提供摄像跟踪管理软件著作权认证。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8.支持断电自动保护记忆功能。支持通道拷贝、粘贴、联控功能。支持通过浏览器访问设备，下载自带管理控制软件；软件界面直观、图形化，可工作在XP/Windows7.8.10等系统环境下。</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124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电源时序器</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1.支持8通道电源时序打开/关闭，支持远程控制（上电+24V直流信号）8通道电源时序打开/关闭—当电源开关锁处于off位置时有效。</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2.单个通道最大负载功率3500W，所有通道负载总功率达6000W，输入连接器：大功率线码式电源连接器。支持RS232串口通讯。</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615" w:hRule="atLeast"/>
        </w:trPr>
        <w:tc>
          <w:tcPr>
            <w:tcW w:w="4542" w:type="pct"/>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2、决策室网络及控制系统</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946"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48口交换机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千兆电口≥48个，千兆光接口≥4个，交换容量≥336Gbps，包转发率≥87Mpps，最大堆叠台数9台，最大堆叠带宽16G</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846"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24口交换机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千兆电口≥24个，千兆光接口≥4个，交换容量≥336Gbps，包转发率≥51Mpps，最大堆叠台数9台，最大堆叠带宽16G</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93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无线AP</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802.11ac、Wave2、双频、双流、1300M、GE*2、内置天线，支持802.3af/802.3at及本地供电，内置天线系统(工作频段：2.4G和5G，最高增益可达3dBi)</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402"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IPAD</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10.1寸（128G WLAN版</w:t>
            </w:r>
            <w:r>
              <w:rPr>
                <w:rFonts w:ascii="宋体" w:hAnsi="宋体" w:cs="宋体"/>
                <w:color w:val="000000" w:themeColor="text1"/>
                <w:kern w:val="0"/>
                <w:szCs w:val="21"/>
                <w:highlight w:val="none"/>
                <w14:textFill>
                  <w14:solidFill>
                    <w14:schemeClr w14:val="tx1"/>
                  </w14:solidFill>
                </w14:textFill>
              </w:rPr>
              <w:t>）</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5130"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智能控制主机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r>
              <w:rPr>
                <w:rFonts w:ascii="宋体" w:hAnsi="宋体" w:cs="宋体"/>
                <w:color w:val="000000" w:themeColor="text1"/>
                <w:kern w:val="0"/>
                <w:szCs w:val="21"/>
                <w:highlight w:val="none"/>
                <w14:textFill>
                  <w14:solidFill>
                    <w14:schemeClr w14:val="tx1"/>
                  </w14:solidFill>
                </w14:textFill>
              </w:rPr>
              <w:t>液晶前面板；</w:t>
            </w:r>
            <w:r>
              <w:rPr>
                <w:rFonts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2、网络接口：1*RJ-45网络接口，100M Base-T接口；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3、串口：8个独立DSUB9接口；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4、可动态配置为RS232/RS485；</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5、红外发射：4个独立红外发射棒接口；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6、红外接收：1个；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7、可支持红外遥控学习；</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8、继电器8个；</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9、I/O：8个，可配置为input或output</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10、温度：0-40℃；</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11、湿度：10-90%，无冷凝；</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12、海拔：2000米；</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13、供电：90V~260V交流；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14、功耗：﹤20瓦；</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15、全网络控制；</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16、分布式布置，可按需要无限扩展接口；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17、支持可视化编程，可支持多设备间智能联动；</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18、控制网络协议： DHCP、UDP、TCP/IP。</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31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管控电脑</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i5-8400 8G 1T+128GSSD 2G独显</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31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kern w:val="0"/>
                <w:szCs w:val="21"/>
                <w:highlight w:val="none"/>
                <w14:textFill>
                  <w14:solidFill>
                    <w14:schemeClr w14:val="tx1"/>
                  </w14:solidFill>
                </w14:textFill>
              </w:rPr>
              <w:t>7</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AV机柜</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600mm*600mm*42U</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600" w:hRule="atLeast"/>
        </w:trPr>
        <w:tc>
          <w:tcPr>
            <w:tcW w:w="4542" w:type="pct"/>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3、决策室视频会议系统</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79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高清视频矩阵</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输入：8路HDMI；2路VGA；4路SDI</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输出：4路HDMI；</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3528"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会议摄像机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1.高清摄像机具备≥20倍光学变倍镜头，支持≥10倍数字变焦；采用1/2.8英寸、≥207万有效像素的高品质HD CMOS传感器。</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2.镜头支持≥55.4°高品质超广角；镜头焦距f＝4.7～94mm, 光圈系数F1.6 ～ F3.5 。</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3.支持1080P60/50/30/25/59.94/29.97；1080I60/50/59.94；720P60/50/30/25/59.94/29.97分辨率，支持输出帧率60帧/秒。</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4.具备1路DVI（HDMI）高清视频输出接口、3G-SDI、有线LAN，3G-SDI支持1080P60；视频编码标准：支持H.265/H.264视频压缩；支持高达1920x1080分辨率60帧/秒压缩；支持2路1920x1080分辨率30帧/秒压缩。</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1685"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电话会议终端</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采用硬件分体式结构,嵌入式操作系统，非PC架构、非工控机架构。</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会议速率支持128Kbps—8Mbps。</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支持ITU-T H.323和IETF SIP通信标准。</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支持H.263、H.264、H.264 High Profile、MPEG4等视频编解码协议。</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支持G.711、G.722、G.728、G.722.1AnnexC、G.719、MPEG4-AAC LC/LD等音频协议，可达到20KHz以上的宽频效果。</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支持H.239标准双流协议。</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支持1080p30、720p60、720p30高清视频编解码，并向下兼容4CIF、CIF标清图像格式。</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支持动态图像双流和PC图像双流两种功能，在保证主流视频1080p 60fps前提下，第二路视频流不低于1080p30fps。</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提供不少于3路独立的高清视频输入接口、2路高清输出接口，其中需包含1路3G-SDI高清输入接口满足高清摄像机图像到终端的长距离无损传输；提供1路独立的标清视频输入/输出接口，不得采用私有非标接口或转接线缆实现。</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提供不少于4路音频输入接口，4路音频输出接口，支持模拟卡侬麦克风、数字麦克风音频输入接口。</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支持1个RJ11电话接口，支持空闲或会议中电话接入。</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系统具有字幕叠加功能，可通过终端控制系统在本地图像上不同位置设置叠加中文会场名、横幅、滚动字幕。</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主席终端支持广播发言会场、主席选看、主席轮询、邀请终端入会、强制终端退会、结束会议等功能。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支持在终端控制软件对本地和远端会场图像进行实时监控及预览。</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PC安装双流软件后，可以通过无线网络将PC桌面图像发送至终端作为辅流图像源传至远端，图像清晰流畅。</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终端在空闲状态下，与外置的数字录像点播服务器配合，支持终端点播功能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具有基本的系统检测诊断功能，包括呼叫状态显示、网络信息统计、本端音视频自环测试、日志、远程升级维护等功能。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提供不少于2个10/100/1000M以太网接口，支持网口热备份。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具备较强的网络抗丢包能力，在IP网络达到12%丢包时声音清晰、图像流畅、无马赛克，25%的丢包率情况下会议仍可进行。</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1827"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高清视频指挥终端</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采用硬件分体式结构,嵌入式操作系统，非PC架构、非工控机架构。</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会议速率支持128Kbps—8Mbps。</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支持ITU-T H.323和IETF SIP通信标准。</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支持H.263、H.264、H.264 High Profile、MPEG4等视频编解码协议。</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支持G.711、G.722、G.728、G.722.1AnnexC、G.719、MPEG4-AAC LC/LD等音频协议，可达到20KHz以上的宽频效果。</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支持H.239标准双流协议。</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支持1080p30、720p60、720p30高清视频编解码，并向下兼容4CIF、CIF标清图像格式。</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支持动态图像双流和PC图像双流两种功能，在保证主流视频1080p 60fps前提下，第二路视频流不低于1080p30fps。</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提供不少于3路独立的高清视频输入接口、2路高清输出接口，其中需包含1路3G-SDI高清输入接口满足高清摄像机图像到终端的长距离无损传输；提供1路独立的标清视频输入/输出接口，不得采用私有非标接口或转接线缆实现。</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提供不少于4路音频输入接口，4路音频输出接口，支持模拟卡侬麦克风、数字麦克风音频输入接口。</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支持1个RJ11电话接口，支持空闲或会议中电话接入。</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系统具有字幕叠加功能，可通过终端控制系统在本地图像上不同位置设置叠加中文会场名、横幅、滚动字幕。</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主席终端支持广播发言会场、主席选看、主席轮询、邀请终端入会、强制终端退会、结束会议等功能。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支持在终端控制软件对本地和远端会场图像进行实时监控及预览。</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PC安装双流软件后，可以通过无线网络将PC桌面图像发送至终端作为辅流图像源传至远端，图像清晰流畅。</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终端在空闲状态下，与外置的数字录像点播服务器配合，支持终端点播功能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具有基本的系统检测诊断功能，包括呼叫状态显示、网络信息统计、本端音视频自环测试、日志、远程升级维护等功能。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提供不少于2个10/100/1000M以太网接口，支持网口热备份。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具备较强的网络抗丢包能力，在IP网络达到12%丢包时声音清晰、图像流畅、无马赛克，25%的丢包率情况下会议仍可进行。</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551"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电视墙服务器</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机框含双电源模块,双网络接口,7个业务插槽,19'3U</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268" w:hRule="atLeast"/>
        </w:trPr>
        <w:tc>
          <w:tcPr>
            <w:tcW w:w="367"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870" w:type="pct"/>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高清解码单元</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高清解码单元,2路高清视频解码输出,2路音频输出</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块</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r>
      <w:tr>
        <w:tblPrEx>
          <w:tblCellMar>
            <w:top w:w="0" w:type="dxa"/>
            <w:left w:w="108" w:type="dxa"/>
            <w:bottom w:w="0" w:type="dxa"/>
            <w:right w:w="108" w:type="dxa"/>
          </w:tblCellMar>
        </w:tblPrEx>
        <w:trPr>
          <w:trHeight w:val="402" w:hRule="atLeast"/>
        </w:trPr>
        <w:tc>
          <w:tcPr>
            <w:tcW w:w="4542" w:type="pct"/>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4、决策室无纸化会讨系统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3155"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会议系统主机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1.采用</w:t>
            </w:r>
            <w:r>
              <w:rPr>
                <w:rFonts w:ascii="宋体" w:hAnsi="宋体" w:cs="宋体"/>
                <w:color w:val="000000" w:themeColor="text1"/>
                <w:kern w:val="0"/>
                <w:szCs w:val="21"/>
                <w:highlight w:val="none"/>
                <w14:textFill>
                  <w14:solidFill>
                    <w14:schemeClr w14:val="tx1"/>
                  </w14:solidFill>
                </w14:textFill>
              </w:rPr>
              <w:t>5GHz的通信频段</w:t>
            </w:r>
            <w:r>
              <w:rPr>
                <w:rFonts w:hint="eastAsia" w:ascii="宋体" w:hAnsi="宋体" w:cs="宋体"/>
                <w:color w:val="000000" w:themeColor="text1"/>
                <w:kern w:val="0"/>
                <w:szCs w:val="21"/>
                <w:highlight w:val="none"/>
                <w14:textFill>
                  <w14:solidFill>
                    <w14:schemeClr w14:val="tx1"/>
                  </w14:solidFill>
                </w14:textFill>
              </w:rPr>
              <w:t>，拥有更强的抗干扰能力，提供更大的带宽和传输速度，并不受移动电话和其他蓝牙设备干扰，确保实现最佳的信号接收。采用128位AES加密技术，支持WPA/WPA2无线安全技术，防止窃听和非授权访问，提供更高的会议系统机密性。</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2.内置高性能双CPU处理器，支持8KHz至96KHz范围内的采样速率，并支持数字音量控制。</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具有≥4.3英寸触摸屏，具有WIFI网络接口，可以通过连接POE网络交换机扩充无线AP数量，提供更大的无线覆盖范围。具有1-4路会议单元输出接口，具有超大系统容量，系统最大支持≥4096台有线会议单元，≥300台无线会议单元。系统最大支持同时开≥8个有线话筒和≥6个无线话筒。</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w:t>
            </w:r>
            <w:r>
              <w:rPr>
                <w:rFonts w:ascii="宋体" w:hAnsi="宋体" w:cs="宋体"/>
                <w:color w:val="000000" w:themeColor="text1"/>
                <w:kern w:val="0"/>
                <w:szCs w:val="21"/>
                <w:highlight w:val="none"/>
                <w14:textFill>
                  <w14:solidFill>
                    <w14:schemeClr w14:val="tx1"/>
                  </w14:solidFill>
                </w14:textFill>
              </w:rPr>
              <w:t>WiFi</w:t>
            </w:r>
            <w:r>
              <w:rPr>
                <w:rFonts w:hint="eastAsia" w:ascii="宋体" w:hAnsi="宋体" w:cs="宋体"/>
                <w:color w:val="000000" w:themeColor="text1"/>
                <w:kern w:val="0"/>
                <w:szCs w:val="21"/>
                <w:highlight w:val="none"/>
                <w14:textFill>
                  <w14:solidFill>
                    <w14:schemeClr w14:val="tx1"/>
                  </w14:solidFill>
                </w14:textFill>
              </w:rPr>
              <w:t>会议系统和全数字会议系统同时使用（有线会议单元和</w:t>
            </w:r>
            <w:r>
              <w:rPr>
                <w:rFonts w:ascii="宋体" w:hAnsi="宋体" w:cs="宋体"/>
                <w:color w:val="000000" w:themeColor="text1"/>
                <w:kern w:val="0"/>
                <w:szCs w:val="21"/>
                <w:highlight w:val="none"/>
                <w14:textFill>
                  <w14:solidFill>
                    <w14:schemeClr w14:val="tx1"/>
                  </w14:solidFill>
                </w14:textFill>
              </w:rPr>
              <w:t>WiFi</w:t>
            </w:r>
            <w:r>
              <w:rPr>
                <w:rFonts w:hint="eastAsia" w:ascii="宋体" w:hAnsi="宋体" w:cs="宋体"/>
                <w:color w:val="000000" w:themeColor="text1"/>
                <w:kern w:val="0"/>
                <w:szCs w:val="21"/>
                <w:highlight w:val="none"/>
                <w14:textFill>
                  <w14:solidFill>
                    <w14:schemeClr w14:val="tx1"/>
                  </w14:solidFill>
                </w14:textFill>
              </w:rPr>
              <w:t>会议单元同时使用）。具有一键关机所有无线单元功能。具有</w:t>
            </w:r>
            <w:r>
              <w:rPr>
                <w:rFonts w:ascii="宋体" w:hAnsi="宋体" w:cs="宋体"/>
                <w:color w:val="000000" w:themeColor="text1"/>
                <w:kern w:val="0"/>
                <w:szCs w:val="21"/>
                <w:highlight w:val="none"/>
                <w14:textFill>
                  <w14:solidFill>
                    <w14:schemeClr w14:val="tx1"/>
                  </w14:solidFill>
                </w14:textFill>
              </w:rPr>
              <w:t>1路USB接口，支持插入U盘设备进行录音功能，支持播放背景音乐功能。具有≥两路功放输出接口，可接驳两个定阻音箱。</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5.遵循规范：IEC60914，兼容GBT15381-94标准；支持同声传译功能，支持四种话筒管理模式：FIFO/NORMAL/VOICE(声控)/APPLY。具有1路EXTENSION 口，可用于连接扩展主机。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具有≥1路RS-485接口，支持一台摄像机实现摄像跟踪。具有≥1路消防报警联动触发接口，在消防紧急状况下可为会议主机面板触摸屏、单元机屏、PC软件提供火灾报警信息。具有≥1路平衡信号和≥1路非平衡信号输入接口，≥1路平衡信号和≥1路非平衡信号输出接口。</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7.PC软件端可查看无线单元的电池电量、WiFi信号等信息状态。支持中英文语言界面切换。</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8.具有丰富的会议应用功能，支持投票表决功能、会议签到功能、5段EQ调节功能、广播短消息、茶水申请服务等，支持会议信息导出，满足日常会议应用所需。</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9.频率响应范围20Hz~20KHz，总谐波失真&lt;0.05%，信噪比&gt;85dB(A)，动态范围&gt;80dB。</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连接线</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20米延长线（一公一母）</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根</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693"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抑制器</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1.采用96KHz采样频率，32-bit DSP处理器，24-bitA/D及D/A转换，支持数字信号输入输出通道提供coaxial，AES及光纤接口。</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2.支持144 x 32的LCD显示屏显示参数功能，提供4段LED显示输出电平；每通道24个LED灯显示啸叫抑制状态数量；</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1969"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无纸化服务主机</w:t>
            </w:r>
          </w:p>
        </w:tc>
        <w:tc>
          <w:tcPr>
            <w:tcW w:w="3305" w:type="pct"/>
            <w:tcBorders>
              <w:top w:val="nil"/>
              <w:left w:val="nil"/>
              <w:bottom w:val="single" w:color="auto" w:sz="4" w:space="0"/>
              <w:right w:val="single" w:color="auto" w:sz="4" w:space="0"/>
            </w:tcBorders>
            <w:shd w:val="clear" w:color="auto" w:fill="auto"/>
            <w:vAlign w:val="center"/>
          </w:tcPr>
          <w:p>
            <w:pPr>
              <w:widowControl/>
              <w:spacing w:after="24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1.支持单个或多个会议室，会议室支持可视化布局配置管理，支持对终端进行单个或多个同时升降机控制/开关机控制，并可关联话筒单元，须和会议话筒统一品牌。</w:t>
            </w:r>
          </w:p>
          <w:p>
            <w:pPr>
              <w:widowControl/>
              <w:spacing w:after="24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2.支持创建（及修改、删除、查看）多条会议议题，并对议题进行开启、结束等管理操作功能， 每条议题可以独立上传多份附件，通过组织架构、用户分组、普通的展示方式选择议题查看者；支持议题内加入文件夹，包含汇报人和汇报时间、保密权限、U盘下载权限开关等配置；支持将议题一键生成投票。支持创建（及修改、删除、查看）会议议程，可上传png、jpg、docx、excel、PPT格式的议程文件，支持预览查看；也支持自定义手动输入议程内容。</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5055"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无纸化流媒体主机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1.标准机柜式设计（2U），内嵌高清、标清视频信号处理模块，同步、异步处理视频信号输入、输出。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2.支持HDMI、VGA信号输入，外部信号通过此接口实时广播画面到所有会议终端并同步显示。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3.支持HDMI、DVI信号输出，任何会议终端画面通过此接口输出至大屏幕或其他信号显示设备。</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4.配置1路3.5mm音频输入接口和1路3.5mm音频输出接口，实现音视频同步输入输出。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5.支持全高清1080P、高清720P等多种高清分辨率输出。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具备≥1路HDMI视频输入接口和≥1路VGA视频输入接口，≥1路HDMI视频输出接口和≥1路DVI视频输出接口，≥1路3.5mm音频输入接口和≥1路3.5mm音频输出接口，实现音视频同步输入输出；具备≥2个串口、≥4个USB接口。（提供接口截图佐证）。</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7.要求服务器的CPU配置不低于四核/四线程/CPU主频3.2GHz（参考配置不低于I5-4460），内存配置不低于4G DDR3 1600，硬盘为固态硬盘且容量至少64GB。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★8.支持将4组不同的无纸化系统屏幕广播画面以4分屏画面投屏输出显示。（提供截图证明文件）</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3528"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无纸化升降器</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1.升降器采用触控超薄高清显示屏与升降器一体化设计，一键操作即自动化完成启动、液晶屏上升、仰角等动作，升/降时间≤28S。</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2.升降器集成升降麦克风一体化设计，话筒可适应不同的环境具有自动扶直功能，当麦杆弯曲时，机器关闭可自动扶直麦杆，不会损坏麦杆。</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3.为将噪音降到最低，要求采用钢丝与高精密度的导轨和直线轴承配合，交流减速电机做驱动动力。</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4.为了安装于桌面占用空间小，要求设备面板厚度≤3mm，宽度≤70mm，长度≤601mm，显示屏厚度≤10mm。</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5.显示器为超薄液晶触屏类型，前屏显示尺寸17.3英寸，屏幕比例为16:9，显示分辨率达1920*1080P，显示屏亮度≥300cd/㎡，对比度≥700：1。</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6.升降器具有≥2组232/485输入输出接口，≥2路USB接口（作用：开/关机、数据传输）。</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7.支持≥1路HDMI、≥1路VGA视频信号输入，当只有一路信号输入时，屏幕会自动识别信号，当两路信号同时输入时，可通过面板按键手动切换，当无信号输入时，屏幕自动进入省电模式。</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8.设备可通过中控软件进行集中控制，支持通过主机进行控制，一键可让室内所有的设备都上升或下降。</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9.显示屏仰角符合人体工程学原理，不遮挡视线和人脸，要求显示屏仰角角度可调0-30°。</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★10.为了工程现场布线更加整洁美观，要求升降器具备≥1路环通输出电源插座，给终端供电减少终端电源插座布线。（提供电源接口图佐证，并盖生产厂商公章）</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11.桌面面板具备≥1路USB接口，支持连接U盘可进行浏览文件或上传文件等操作。</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12.升降话筒采用手拉手方式连接，心型指向性驻极体，频率响应范围80Hz-16KHz，灵敏度等于或优于-46dBV/Pa，最大SPL可达125dB（A），信噪比＞80dB，THD＜0.1%。</w:t>
            </w:r>
          </w:p>
          <w:p>
            <w:pPr>
              <w:rPr>
                <w:rFonts w:ascii="宋体" w:hAnsi="宋体" w:cs="宋体"/>
                <w:color w:val="000000" w:themeColor="text1"/>
                <w:szCs w:val="21"/>
                <w:highlight w:val="none"/>
                <w14:textFill>
                  <w14:solidFill>
                    <w14:schemeClr w14:val="tx1"/>
                  </w14:solidFill>
                </w14:textFill>
              </w:rPr>
            </w:pP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25</w:t>
            </w:r>
          </w:p>
        </w:tc>
      </w:tr>
      <w:tr>
        <w:tblPrEx>
          <w:tblCellMar>
            <w:top w:w="0" w:type="dxa"/>
            <w:left w:w="108" w:type="dxa"/>
            <w:bottom w:w="0" w:type="dxa"/>
            <w:right w:w="108" w:type="dxa"/>
          </w:tblCellMar>
        </w:tblPrEx>
        <w:trPr>
          <w:trHeight w:val="1119"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无纸化会议终端</w:t>
            </w:r>
          </w:p>
        </w:tc>
        <w:tc>
          <w:tcPr>
            <w:tcW w:w="3305" w:type="pct"/>
            <w:tcBorders>
              <w:top w:val="nil"/>
              <w:left w:val="nil"/>
              <w:bottom w:val="single" w:color="auto" w:sz="4" w:space="0"/>
              <w:right w:val="single" w:color="auto" w:sz="4" w:space="0"/>
            </w:tcBorders>
            <w:shd w:val="clear" w:color="auto" w:fill="auto"/>
            <w:vAlign w:val="center"/>
          </w:tcPr>
          <w:p>
            <w:pPr>
              <w:widowControl/>
              <w:numPr>
                <w:ilvl w:val="0"/>
                <w:numId w:val="8"/>
              </w:numPr>
              <w:spacing w:after="240"/>
              <w:ind w:left="36"/>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账户密码登录功能，能自动登录默认会议，能选择参加想要的会议。终端具有强大的保密性能，结束会议自动清除本地会议文件。具备个人中心模块，参会人员可查看参加过的历史会议及历史会议中会议信息和文件，方便用户查找回顾。</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2.支持查看参会名单和会议人员座位图，支持对会议签到进行开始或统一、协助签到控制，并查看当前签到情况，签到过程结果实时投屏。</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3.可对多种文件格式进行阅览，包括常见格式；支持权限功能，参会人只可看到有权限的文件；支持通过读取U盘，上传文件并共享至其他参会者的临时文件中，实现文件快速共享。</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4.支持本地白板或多人交互白板，电子白板可插入背景图片；支持会议交流功能，可与一人或多人进行实时会议交流。</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5.支持手写批注，可单人屏幕批注或多人屏幕交互批注操作，批注文件可保存至服务器，方便会后整理。（提供功能界面截图佐证，加盖生产厂商公章）。</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6.支持文档批注功能，支持常见文档格式（doc/docx/xls/xlsx/ppt/pptx/pdf），可以对文档进行批注、保存，并支持多人交互同步批注、多人批注颜色画笔分配功能。</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7.支持屏幕同屏广播，任何参会人员可以在会议中进行屏幕广播将本地画面共享至其他参会人员，支持跨平台广播（Windows/android）</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支持将任一参会人本地画面屏幕广播至全部参会人，也可以结束任一参会人的共享画面。参会人员可以异步浏览退出广播画面，自由使用终端其他功能，也支持浮窗的方式进行异浏览，方便用户在观看同步画面时查看其他会议文件或内容，可切换无纸化终端为普通电脑使用。</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10.支持会议服务呼叫，可选茶水、笔、纸、服务员等，也可自定义输入服务需求；支持会议服务APP，服务内容及时发送给后勤服务人员，后勤服务人员可随时随地接收并处理不同会议室发来的服务信息。</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11.内置浏览器，支持浏览以太网网络，可访问OA、邮箱等，并可在终端配置文件设置，点击直接打开配置好的网页。会议过程中可以随时进行会议笔记记录，并支持下载到本地。</w:t>
            </w:r>
          </w:p>
          <w:p>
            <w:pPr>
              <w:widowControl/>
              <w:spacing w:after="240"/>
              <w:ind w:left="-5" w:leftChars="-19" w:hanging="35" w:hangingChars="17"/>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 无纸化会议系统支持悬浮窗跟踪主讲，当屏幕同屏时，接收端窗口可以以悬浮窗形式观看，并且可以自由调节悬浮窗的大小和位置，（提供功能界面截图佐证，加盖生产厂商公章）</w:t>
            </w:r>
          </w:p>
          <w:p>
            <w:pPr>
              <w:widowControl/>
              <w:spacing w:after="240"/>
              <w:ind w:left="-5" w:leftChars="-19" w:hanging="35" w:hangingChars="17"/>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13.无纸化会议终端代表机具有申请发言功能，主席可批准申请人发言。无纸化代表席位可以在软件界面上通过快捷键一键申请发言，主席单元批准后，该代表席位的话筒即可开始发言。</w:t>
            </w:r>
          </w:p>
          <w:p>
            <w:pPr>
              <w:widowControl/>
              <w:spacing w:after="240"/>
              <w:ind w:left="-5" w:leftChars="-19" w:hanging="35" w:hangingChars="17"/>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★14无纸化会议系统支持会议克隆功能，可选克隆会议文件，可以快速召开相同议题的会议。（提供功能界面截图佐证，并盖生产厂商公章）</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25</w:t>
            </w:r>
          </w:p>
        </w:tc>
      </w:tr>
      <w:tr>
        <w:tblPrEx>
          <w:tblCellMar>
            <w:top w:w="0" w:type="dxa"/>
            <w:left w:w="108" w:type="dxa"/>
            <w:bottom w:w="0" w:type="dxa"/>
            <w:right w:w="108" w:type="dxa"/>
          </w:tblCellMar>
        </w:tblPrEx>
        <w:trPr>
          <w:trHeight w:val="324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无纸化会议安卓App</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1．支持通过无纸化系统的秘书帐号和管理员帐号权限登陆管理，管理员可以看到所有的服务请求，秘书只能看到自己创建的服务请求。</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2．软件可以实时查看到无纸化终端发出的会议请求并处理。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3．支持根据会议室、状态分类查找会议中无纸化终端发出的会议服务请求，支持刷选日期查找会议服务请求。</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4．支持搜索已处理和未处理的会议服务请求。</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5．终端发出会议请求时，App能实时收到提醒。</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6．支持App查看新的会议服务请求，并且会有请求数量提示。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7．支持删除已处理或过期的数据。</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8．会议服务App软件可在Android  4.0及以上版本的手机上运行；可以通过应用宝等各大应用市场下载。</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50" w:hRule="atLeast"/>
        </w:trPr>
        <w:tc>
          <w:tcPr>
            <w:tcW w:w="4542" w:type="pct"/>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5、决策室电子桌牌系统</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324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电子桌牌</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kern w:val="0"/>
                <w:szCs w:val="21"/>
                <w:highlight w:val="none"/>
                <w14:textFill>
                  <w14:solidFill>
                    <w14:schemeClr w14:val="tx1"/>
                  </w14:solidFill>
                </w14:textFill>
              </w:rPr>
              <w:t>1.</w:t>
            </w:r>
            <w:r>
              <w:rPr>
                <w:rFonts w:hint="eastAsia"/>
                <w:color w:val="000000" w:themeColor="text1"/>
                <w:highlight w:val="non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桌面升降式智能电子桌牌采用双屏7英寸墨水屏显示屏设计</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2.内置高性能处理器和处理软件，可同步显示参会人员姓名、职称、会徽会标、会议主题等参会者信息。</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3.采用全铝结构，薄处不大于4毫米</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4.设备的表面处理为阳极氧化处理，色泽光亮。</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5.高清显示屏分辨率：1024*600P。</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6.可通过中控软件进行集中控制，可通过遥控或主机进行控制，一键可让室内所有的桌牌都上升或下降。</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7.桌牌在上升后，屏幕自动供电，下降后，屏幕自行断电，节约环保。</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8.更改信息简易方便，U盘即可导入信息。</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9.主屏幕亮度：400cd/㎡</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10.可视角度：45/45/20/40(Typ.)</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25</w:t>
            </w:r>
          </w:p>
        </w:tc>
      </w:tr>
      <w:tr>
        <w:tblPrEx>
          <w:tblCellMar>
            <w:top w:w="0" w:type="dxa"/>
            <w:left w:w="108" w:type="dxa"/>
            <w:bottom w:w="0" w:type="dxa"/>
            <w:right w:w="108" w:type="dxa"/>
          </w:tblCellMar>
        </w:tblPrEx>
        <w:trPr>
          <w:trHeight w:val="1215"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触屏软件</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1、对电子桌牌进行集中管控；</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2、支持更改桌牌背景，可选单色背景或更换图片背景方式显示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3、支持对桌牌显示内容的格式进行调整，包括字体、位置等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4、在线更新桌牌显示内容。</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4542" w:type="pct"/>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6、决策室会议录制系统</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1402"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摄像机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1.高清摄像机具备≥20倍光学变倍镜头，支持≥10倍数字变焦；采用1/2.8英寸、≥207万有效像素的高品质HD CMOS传感器。</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2.镜头支持≥55.4°高品质超广角；镜头焦距f＝4.7～94mm, 光圈系数F1.6 ～ F3.5 。</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3.支持1080P60/50/30/25/59.94/29.97；1080I60/50/59.94；720P60/50/30/25/59.94/29.97分辨率，支持输出帧率60帧/秒。</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4.具备1路DVI（HDMI）高清视频输出接口、3G-SDI、有线LAN，3G-SDI支持1080P60；视频编码标准：支持H.265/H.264视频压缩；支持高达1920x1080分辨率60帧/秒压缩；支持2路1920x1080分辨率30帧/秒压缩。</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5.支持ONVIF、GB/T28181.RTSP、RTMP协议、RTP组播，同时支持RTMP推送模式，可实现轻松链接流媒体服务器(Wowza、FMS)</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6.支持RS232串口远程对摄像机进行控制（带环通RS-232输出），支持VISCA、PELCO-D、PELCO-P协议，支持自动识别协议。支持网络全命令VISCA控制协议。支持多达255个预置位(遥控器设置调用为10个)</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7.水平视场角：2.9°～55.4°；支持水平转动范围：-170°～+170°，垂直转动范围：-30°～+90°，水平转动速度范围：0.1 ～100°/秒 ，垂直转动速度范围：0.1～45°/秒。</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8.采用先进的2D、3D降噪技术，图像信噪比＞55dB；支持16000、32000、44100、48000采样频率，支持AAC、MP3.G711音频编码。</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9.最低照度：0.5Lux(F1.8, AGC ON)；支持低功耗休眠/唤醒，休眠时功耗低于400mW</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2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录播主机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65" w:hRule="atLeast"/>
        </w:trPr>
        <w:tc>
          <w:tcPr>
            <w:tcW w:w="1237" w:type="pct"/>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7、决策室显示系统</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416"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86寸液晶电视</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CPU核数四核心运行内存2GB操作系统智能安卓6.0CPU四核CA53智能电视是GPU四核Mali-820存储内存16GB</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音频参数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扬声器数量2个多声道功能立体声音频系统超宽环绕立体声输出功率8W x 2</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显示参数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HDR显示支持支持格式（高清）2160p屏幕尺寸86英寸屏幕比例16:9背光方式直下式扫描方式逐行扫描屏幕分辨率超高清4K背光源LED刷屏率60HZ</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108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98寸触摸一体机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98英寸， LED液晶显示屏  ，红外触控，防眩光钢化玻璃，标配：壁挂板，整机自带安卓系统，配PC模块配备Windows系统，电源线。包涵电子白板、无线传屏、远程会议、4K高清显示、会议内容扫码带走； 投影仪、音响、白板三合一；远程会议中实现主会场、分会场视频、语音、演讲内容、白板书写远程交互；第三方设备搭配兼容性强，可以与现有产品进行搭配。</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p>
        </w:tc>
      </w:tr>
      <w:tr>
        <w:tblPrEx>
          <w:tblCellMar>
            <w:top w:w="0" w:type="dxa"/>
            <w:left w:w="108" w:type="dxa"/>
            <w:bottom w:w="0" w:type="dxa"/>
            <w:right w:w="108" w:type="dxa"/>
          </w:tblCellMar>
        </w:tblPrEx>
        <w:trPr>
          <w:trHeight w:val="693"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LED一体机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color w:val="000000" w:themeColor="text1"/>
                <w:kern w:val="0"/>
                <w:sz w:val="22"/>
                <w:szCs w:val="22"/>
                <w:highlight w:val="none"/>
                <w14:textFill>
                  <w14:solidFill>
                    <w14:schemeClr w14:val="tx1"/>
                  </w14:solidFill>
                </w14:textFill>
              </w:rPr>
            </w:pPr>
            <w:r>
              <w:rPr>
                <w:rFonts w:hint="eastAsia"/>
                <w:color w:val="000000" w:themeColor="text1"/>
                <w:sz w:val="22"/>
                <w:szCs w:val="22"/>
                <w:highlight w:val="none"/>
                <w14:textFill>
                  <w14:solidFill>
                    <w14:schemeClr w14:val="tx1"/>
                  </w14:solidFill>
                </w14:textFill>
              </w:rPr>
              <w:t>屏体面积5.35 m*1.63 m=8.73㎡，分辨率3840*1080，整屏重量190kg，全前维护，无风扇设计、零噪音，内置安卓系统，无线传屏，内置欢迎界面模板，可遥控操作一件切换全屏、双屏、居中三种模式，一键实现亮度调节、通道切换、待机等功能</w:t>
            </w:r>
          </w:p>
          <w:p>
            <w:pPr>
              <w:widowControl/>
              <w:jc w:val="left"/>
              <w:rPr>
                <w:rFonts w:ascii="宋体" w:hAnsi="宋体" w:cs="宋体"/>
                <w:color w:val="000000" w:themeColor="text1"/>
                <w:kern w:val="0"/>
                <w:sz w:val="24"/>
                <w:highlight w:val="none"/>
                <w14:textFill>
                  <w14:solidFill>
                    <w14:schemeClr w14:val="tx1"/>
                  </w14:solidFill>
                </w14:textFill>
              </w:rPr>
            </w:pP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平方</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r>
              <w:rPr>
                <w:rFonts w:ascii="宋体" w:hAnsi="宋体" w:cs="宋体"/>
                <w:color w:val="000000" w:themeColor="text1"/>
                <w:kern w:val="0"/>
                <w:szCs w:val="21"/>
                <w:highlight w:val="none"/>
                <w14:textFill>
                  <w14:solidFill>
                    <w14:schemeClr w14:val="tx1"/>
                  </w14:solidFill>
                </w14:textFill>
              </w:rPr>
              <w:t>.72</w:t>
            </w:r>
          </w:p>
        </w:tc>
      </w:tr>
      <w:tr>
        <w:tblPrEx>
          <w:tblCellMar>
            <w:top w:w="0" w:type="dxa"/>
            <w:left w:w="108" w:type="dxa"/>
            <w:bottom w:w="0" w:type="dxa"/>
            <w:right w:w="108" w:type="dxa"/>
          </w:tblCellMar>
        </w:tblPrEx>
        <w:trPr>
          <w:trHeight w:val="402"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4</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辅材辅料</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批</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p>
        </w:tc>
      </w:tr>
      <w:tr>
        <w:tblPrEx>
          <w:tblCellMar>
            <w:top w:w="0" w:type="dxa"/>
            <w:left w:w="108" w:type="dxa"/>
            <w:bottom w:w="0" w:type="dxa"/>
            <w:right w:w="108" w:type="dxa"/>
          </w:tblCellMar>
        </w:tblPrEx>
        <w:trPr>
          <w:trHeight w:val="480" w:hRule="atLeast"/>
        </w:trPr>
        <w:tc>
          <w:tcPr>
            <w:tcW w:w="1237" w:type="pct"/>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三、内部会议室</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r>
        <w:tblPrEx>
          <w:tblCellMar>
            <w:top w:w="0" w:type="dxa"/>
            <w:left w:w="108" w:type="dxa"/>
            <w:bottom w:w="0" w:type="dxa"/>
            <w:right w:w="108" w:type="dxa"/>
          </w:tblCellMar>
        </w:tblPrEx>
        <w:trPr>
          <w:trHeight w:val="132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专业音箱</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1.采用拼接排列扬声器设计，12只3寸意大利进口全频单元；箱体采用12mm夹板制作。</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2.阻抗：6Ω、频响：80Hz-20KHz</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3.额定功率：300W</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4.灵敏度：97dB/W/M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945"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吸顶音响</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1、额定功率≥100W，阻抗：8Ω，灵敏度(1W/1M)≥92dB，频率响应(-10dB)：60Hz-20KHz，</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2、安装开孔尺寸：250mm。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795"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支架</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固定面板尺寸（长*宽）： 140mm*65mm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箱体固定面板尺寸（长*宽）： 128mm*70mm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195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专业功放</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1输出功率支持立体声/并联8Ω×2：500W×2，立体声/并联4Ω×2：750W×2，立体声/并联2Ω×2：1125W×2，桥接8Ω：1500W，桥接4Ω：2200W。</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2.信噪比≥100dB、频响:20Hz-20KHz；分离度≥80dB、失真度≤0.05%。</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1119"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数字媒体矩阵</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1.数字音频处理器支持≥16路平衡式话筒/线路输入通道，采用裸线接口端子，平衡接法；支持≥16路平衡式线路输出，采用裸线接口端子，平衡接法。</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2.输入通道支持前级放大、信号发生器、扩展器、压缩器、5段参量均衡、AM自动混音功能、AFC自适应反馈消除、AEC回声消除、ANC噪声消除。</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3.输出通道支持31段参量均衡器、延时器、分频器、高低通滤波器、限幅器。</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4.支持24bit/48KHz卓越的高品质声音，支持输入通道48V幻像供电，频率响应：20Hz-20KHz，总谐波失真＜0.002% @1KHz ,4dBu，数/模动态范围(A-计权)：120dB；最大输出电平≥+24dBu，最大输入电平≥+24dBu。</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5.支持通过ipad或iPhone或安卓手机APP软件进行操作控制、切换8个不同场景。</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6.配置2路Dante协议接口，支持低延时的DANTE网络音频传输，16路发送，16路接收通道，可实现网络音频扩展。面板具备USB接口。</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7.配置双向RS-232接口，可用于控制外部设备；配置RS-485接口，可实现自动摄像跟踪功能。配置8通道可编程GPIO控制接口（可自定义输入输出）。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8.支持断电自动保护记忆功能。支持通道拷贝、粘贴、联控功能。支持通过浏览器访问设备，下载自带管理控制软件；软件界面直观、图形化，可工作在XP/Windows7.8.10等系统环境下。</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234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一拖二无线话筒</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频率范围： 640-690MHZ  740-790MHz  807-830MHz、频道数目： 500个、音频响应 ：80HZ-18KHZ(±2dB)、信噪比： &gt;105dB、灵敏度 ：–105 dBm for 12 dB SINAD, typical、有效使用距离 ：空旷50米</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接收器指标：平衡200Ω 负载-13dBV，非平衡600Ω、音频输出阻抗： 平衡200Ω；1路合并非平衡600Ω；</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麦克风指标：输出功率 ：高功率30mW；低功率3mW</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系统包括有二台主机+二台桌面式无线麦克</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835"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24口交换机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千兆电口≥24个，千兆光接口≥4个，交换容量≥336Gbps，包转发率≥51Mpps，</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激光投影机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分辨率1920*1200WUGA，5000流明，支持安卓系统</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电动幕布</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150寸电动</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线缆辅材</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批</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315"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AV机柜</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600mm*600mm*24U</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1237" w:type="pct"/>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四、110接处警</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16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86寸液晶电视</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CPU核数四核心运行内存2GB操作系统智能安卓6.0CPU四核CA53智能电视是GPU四核Mali-820存储内存16GB</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音频参数</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扬声器数量2个多声道功能立体声音频系统超宽环绕立体声输出功率8W x 2</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显示参数</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HDR显示支持支持格式（高清）2160p屏幕尺寸86英寸屏幕比例16:9背光方式直下式扫描方式逐行扫描屏幕分辨率超高清4K背光源LED刷屏率60HZ</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27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高清线</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HDMI/5m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根</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402" w:hRule="atLeast"/>
        </w:trPr>
        <w:tc>
          <w:tcPr>
            <w:tcW w:w="1237" w:type="pct"/>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五、情报合成区</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16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86寸液晶电视</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CPU核数四核心运行内存2GB操作系统智能安卓6.0CPU四核CA53智能电视是GPU四核Mali-820存储内存16GB</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音频参数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扬声器数量2个多声道功能立体声音频系统超宽环绕立体声输出功率8W x 2</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显示参数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HDR显示支持支持格式（高清）2160p屏幕尺寸86英寸屏幕比例16:9背光方式直下式扫描方式逐行扫描屏幕分辨率超高清4K背光源LED刷屏率60HZ</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27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高清线</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HDMI/5m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根</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1237" w:type="pct"/>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六、图侦</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160"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86寸液晶电视</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CPU核数四核心运行内存2GB操作系统智能安卓6.0CPU四核CA53智能电视是GPU四核Mali-820存储内存16GB</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音频参数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扬声器数量2个多声道功能立体声音频系统超宽环绕立体声输出功率8W x 2</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显示参数</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HDR显示支持支持格式（高清）2160p屏幕尺寸86英寸屏幕比例16:9背光方式直下式扫描方式逐行扫描屏幕分辨率超高清4K背光源LED刷屏率60HZ</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718"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高清线</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HDMI/5m</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根</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718"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七</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50M</w:t>
            </w:r>
            <w:r>
              <w:rPr>
                <w:rFonts w:hint="eastAsia" w:ascii="宋体" w:hAnsi="宋体"/>
                <w:color w:val="000000" w:themeColor="text1"/>
                <w:szCs w:val="21"/>
                <w:highlight w:val="none"/>
                <w14:textFill>
                  <w14:solidFill>
                    <w14:schemeClr w14:val="tx1"/>
                  </w14:solidFill>
                </w14:textFill>
              </w:rPr>
              <w:t>对讲调度系统</w:t>
            </w:r>
          </w:p>
        </w:tc>
        <w:tc>
          <w:tcPr>
            <w:tcW w:w="330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718" w:hRule="atLeast"/>
        </w:trPr>
        <w:tc>
          <w:tcPr>
            <w:tcW w:w="21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27" w:type="pct"/>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调度站（</w:t>
            </w:r>
            <w:r>
              <w:rPr>
                <w:rFonts w:hint="eastAsia" w:ascii="宋体" w:hAnsi="宋体" w:cs="宋体"/>
                <w:color w:val="000000" w:themeColor="text1"/>
                <w:kern w:val="0"/>
                <w:szCs w:val="21"/>
                <w:highlight w:val="none"/>
                <w14:textFill>
                  <w14:solidFill>
                    <w14:schemeClr w14:val="tx1"/>
                  </w14:solidFill>
                </w14:textFill>
              </w:rPr>
              <w:t>含软件及授权</w:t>
            </w:r>
            <w:r>
              <w:rPr>
                <w:rFonts w:hint="eastAsia" w:ascii="宋体" w:hAnsi="宋体"/>
                <w:color w:val="000000" w:themeColor="text1"/>
                <w:szCs w:val="21"/>
                <w:highlight w:val="none"/>
                <w14:textFill>
                  <w14:solidFill>
                    <w14:schemeClr w14:val="tx1"/>
                  </w14:solidFill>
                </w14:textFill>
              </w:rPr>
              <w:t>）</w:t>
            </w:r>
          </w:p>
        </w:tc>
        <w:tc>
          <w:tcPr>
            <w:tcW w:w="3305" w:type="pct"/>
            <w:tcBorders>
              <w:top w:val="nil"/>
              <w:left w:val="nil"/>
              <w:bottom w:val="single" w:color="auto" w:sz="4" w:space="0"/>
              <w:right w:val="single" w:color="auto" w:sz="4" w:space="0"/>
            </w:tcBorders>
            <w:shd w:val="clear" w:color="auto" w:fill="auto"/>
            <w:vAlign w:val="center"/>
          </w:tcPr>
          <w:p>
            <w:pPr>
              <w:spacing w:line="360" w:lineRule="auto"/>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IntelI5-8500、32G内存、128G固态+1T机械硬盘、4G独立显卡、DVD刻录，Windows10操作系统，24寸显示器，含话筒，（含软件及授权），实现350</w:t>
            </w:r>
            <w:r>
              <w:rPr>
                <w:rFonts w:ascii="宋体" w:hAnsi="宋体" w:cs="宋体"/>
                <w:color w:val="000000" w:themeColor="text1"/>
                <w:kern w:val="0"/>
                <w:szCs w:val="21"/>
                <w:highlight w:val="none"/>
                <w14:textFill>
                  <w14:solidFill>
                    <w14:schemeClr w14:val="tx1"/>
                  </w14:solidFill>
                </w14:textFill>
              </w:rPr>
              <w:t>M</w:t>
            </w:r>
            <w:r>
              <w:rPr>
                <w:rFonts w:hint="eastAsia" w:ascii="宋体" w:hAnsi="宋体" w:cs="宋体"/>
                <w:color w:val="000000" w:themeColor="text1"/>
                <w:kern w:val="0"/>
                <w:szCs w:val="21"/>
                <w:highlight w:val="none"/>
                <w14:textFill>
                  <w14:solidFill>
                    <w14:schemeClr w14:val="tx1"/>
                  </w14:solidFill>
                </w14:textFill>
              </w:rPr>
              <w:t>对讲系统与会议扩声系统无缝对接。</w:t>
            </w:r>
            <w:r>
              <w:rPr>
                <w:rFonts w:hint="eastAsia" w:ascii="宋体" w:hAnsi="宋体"/>
                <w:color w:val="000000" w:themeColor="text1"/>
                <w:szCs w:val="21"/>
                <w:highlight w:val="none"/>
                <w14:textFill>
                  <w14:solidFill>
                    <w14:schemeClr w14:val="tx1"/>
                  </w14:solidFill>
                </w14:textFill>
              </w:rPr>
              <w:t>指挥大厅领导发言时，通过调度站，可对接指挥大厅内会议发言系统将领导发言的内容传输至在外执勤人员的对讲机上；室外执勤人员可通过调度站，对接指挥大厅扩声系统，可将执勤人员的说话内容通过音箱进行放大，使在大厅内的人员都可听见。</w:t>
            </w:r>
          </w:p>
        </w:tc>
        <w:tc>
          <w:tcPr>
            <w:tcW w:w="23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22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bookmarkEnd w:id="82"/>
    </w:tbl>
    <w:p>
      <w:pPr>
        <w:pStyle w:val="4"/>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3.8智能情报指挥工作仓系统</w:t>
      </w:r>
    </w:p>
    <w:p>
      <w:pPr>
        <w:spacing w:line="360" w:lineRule="auto"/>
        <w:ind w:firstLine="315" w:firstLineChars="1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智能情报指挥工作仓是为公安行业定制的一款专业产品，具有多网多系统多屏显示、多网数据安全摆渡、系统控制简单等功能特点，解决公安业务多网无法融合协同作战问题，有效提高视频侦查效率。</w:t>
      </w:r>
    </w:p>
    <w:p>
      <w:pPr>
        <w:spacing w:line="360" w:lineRule="auto"/>
        <w:ind w:firstLine="210" w:firstLineChars="1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舱内可访问视频网、公安网、互联网等同不同网络的应用系统，实现各网系统间数据共享交换并保证网络安全；舱内有多个显示单元，保证三网多系统同时显示操作；舱内多系统、多应用平台、多显示单元只需一套键盘鼠标就能简单方便操作。舱内同时提供舒适的人机操作环境，相对于传统工作环境可有效舒缓工作疲劳。</w:t>
      </w:r>
    </w:p>
    <w:p>
      <w:pPr>
        <w:spacing w:line="360" w:lineRule="auto"/>
        <w:ind w:firstLine="42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详细设备参数详见坐席管理系统。</w:t>
      </w:r>
    </w:p>
    <w:p>
      <w:pPr>
        <w:pStyle w:val="4"/>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3.9车载视频监控系统</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3.9.1系统概述</w:t>
      </w:r>
    </w:p>
    <w:p>
      <w:pPr>
        <w:spacing w:line="360" w:lineRule="auto"/>
        <w:ind w:firstLine="420"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车载无线图像采集终端可实现</w:t>
      </w:r>
      <w:r>
        <w:rPr>
          <w:rFonts w:hint="eastAsia" w:ascii="宋体" w:hAnsi="宋体" w:cs="宋体"/>
          <w:color w:val="000000" w:themeColor="text1"/>
          <w:kern w:val="0"/>
          <w:szCs w:val="21"/>
          <w:highlight w:val="none"/>
          <w14:textFill>
            <w14:solidFill>
              <w14:schemeClr w14:val="tx1"/>
            </w14:solidFill>
          </w14:textFill>
        </w:rPr>
        <w:t>全景视频实时预览、本地手动抓图，可以把抓到的图片保存在本地或上传至平台。具有本地视频录像功能，支持全天候自动录像和手动录像。用户可根据需要设置录像参数，可设置录像画质质量、像素、图像存储格式、录像打包时间等。在车辆行驶过程中，</w:t>
      </w:r>
      <w:r>
        <w:rPr>
          <w:rFonts w:hint="eastAsia" w:ascii="宋体" w:hAnsi="宋体" w:cs="宋体"/>
          <w:b/>
          <w:color w:val="000000" w:themeColor="text1"/>
          <w:kern w:val="0"/>
          <w:szCs w:val="21"/>
          <w:highlight w:val="none"/>
          <w14:textFill>
            <w14:solidFill>
              <w14:schemeClr w14:val="tx1"/>
            </w14:solidFill>
          </w14:textFill>
        </w:rPr>
        <w:t>实现车辆车牌和人脸图片采集</w:t>
      </w:r>
      <w:r>
        <w:rPr>
          <w:rFonts w:hint="eastAsia" w:ascii="宋体" w:hAnsi="宋体" w:cs="宋体"/>
          <w:color w:val="000000" w:themeColor="text1"/>
          <w:kern w:val="0"/>
          <w:szCs w:val="21"/>
          <w:highlight w:val="none"/>
          <w14:textFill>
            <w14:solidFill>
              <w14:schemeClr w14:val="tx1"/>
            </w14:solidFill>
          </w14:textFill>
        </w:rPr>
        <w:t>，结合车载主机和后端平台，</w:t>
      </w:r>
      <w:r>
        <w:rPr>
          <w:rFonts w:hint="eastAsia" w:ascii="宋体" w:hAnsi="宋体" w:cs="宋体"/>
          <w:b/>
          <w:color w:val="000000" w:themeColor="text1"/>
          <w:kern w:val="0"/>
          <w:szCs w:val="21"/>
          <w:highlight w:val="none"/>
          <w14:textFill>
            <w14:solidFill>
              <w14:schemeClr w14:val="tx1"/>
            </w14:solidFill>
          </w14:textFill>
        </w:rPr>
        <w:t>完成黑名单实时比对等功能</w:t>
      </w:r>
      <w:r>
        <w:rPr>
          <w:rFonts w:hint="eastAsia" w:ascii="宋体" w:hAnsi="宋体" w:cs="宋体"/>
          <w:color w:val="000000" w:themeColor="text1"/>
          <w:kern w:val="0"/>
          <w:szCs w:val="21"/>
          <w:highlight w:val="none"/>
          <w14:textFill>
            <w14:solidFill>
              <w14:schemeClr w14:val="tx1"/>
            </w14:solidFill>
          </w14:textFill>
        </w:rPr>
        <w:t>。一旦发现违法在逃人员和车辆、非正常上访人员等重点关注对象，车载主机和平台自动报警，提醒车内执勤人员进行处置。通过GPS/北斗定位、语音对讲、图文互传等功能，实现设备端与指挥中心端的指令下发、信息上报，完成可视化指挥、扁平化调度等工作，做到警情联动指挥处置。借助GPS/北斗定位技术，实现对执勤车辆的轨迹定位、回放，达到对执勤工作的高清量化管理和监督考核，解决了传统执勤车辆无法有效管控的问题。</w:t>
      </w:r>
    </w:p>
    <w:p>
      <w:pPr>
        <w:pStyle w:val="21"/>
        <w:ind w:firstLine="371" w:firstLineChars="177"/>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执法记录仪：对执法过程中进行动态、静态的现场况数字化记录。可实现群组通话，实现与中心对讲，一对一通话，实现视频对讲，对中心实现视频对讲，用于可视化指挥。具有人脸识别，前端人脸检测抓拍上传，可对现场实现人脸抓拍并比对。内置人脸库。人员定位：支持GPS+北斗双模定位，并将位置信息实时上传指挥中心。</w:t>
      </w:r>
    </w:p>
    <w:p>
      <w:pPr>
        <w:pStyle w:val="5"/>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3.9.2技术规格、参数及要求</w:t>
      </w:r>
    </w:p>
    <w:tbl>
      <w:tblPr>
        <w:tblStyle w:val="13"/>
        <w:tblW w:w="5000" w:type="pct"/>
        <w:tblInd w:w="0" w:type="dxa"/>
        <w:tblLayout w:type="fixed"/>
        <w:tblCellMar>
          <w:top w:w="0" w:type="dxa"/>
          <w:left w:w="108" w:type="dxa"/>
          <w:bottom w:w="0" w:type="dxa"/>
          <w:right w:w="108" w:type="dxa"/>
        </w:tblCellMar>
      </w:tblPr>
      <w:tblGrid>
        <w:gridCol w:w="538"/>
        <w:gridCol w:w="2257"/>
        <w:gridCol w:w="5757"/>
        <w:gridCol w:w="650"/>
        <w:gridCol w:w="652"/>
      </w:tblGrid>
      <w:tr>
        <w:tblPrEx>
          <w:tblCellMar>
            <w:top w:w="0" w:type="dxa"/>
            <w:left w:w="108" w:type="dxa"/>
            <w:bottom w:w="0" w:type="dxa"/>
            <w:right w:w="108" w:type="dxa"/>
          </w:tblCellMar>
        </w:tblPrEx>
        <w:tc>
          <w:tcPr>
            <w:tcW w:w="27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序号</w:t>
            </w:r>
          </w:p>
        </w:tc>
        <w:tc>
          <w:tcPr>
            <w:tcW w:w="1145" w:type="pct"/>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设备名称</w:t>
            </w:r>
          </w:p>
        </w:tc>
        <w:tc>
          <w:tcPr>
            <w:tcW w:w="292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规格参数</w:t>
            </w:r>
          </w:p>
        </w:tc>
        <w:tc>
          <w:tcPr>
            <w:tcW w:w="33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w:t>
            </w:r>
          </w:p>
        </w:tc>
        <w:tc>
          <w:tcPr>
            <w:tcW w:w="33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c>
          <w:tcPr>
            <w:tcW w:w="27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14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4G全智能车载图传</w:t>
            </w:r>
          </w:p>
        </w:tc>
        <w:tc>
          <w:tcPr>
            <w:tcW w:w="292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【全景智能取证系统】【车辆抓拍】【车牌识别】【人脸抓拍】【全景拼接】</w:t>
            </w:r>
          </w:p>
          <w:p>
            <w:pPr>
              <w:pStyle w:val="2"/>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设备支持多路拼接功能：支持6路视频图像拼接为2路180°全景图像，可覆盖360°视场；</w:t>
            </w:r>
          </w:p>
          <w:p>
            <w:pPr>
              <w:pStyle w:val="2"/>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设备支持2路全景通道（每路由3路视频拼接，180°视场）和1路特征通道；</w:t>
            </w:r>
          </w:p>
          <w:p>
            <w:pPr>
              <w:pStyle w:val="2"/>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产品需支持低照度功能：≤0.0004lx</w:t>
            </w:r>
            <w:ins w:id="0" w:author="qgy" w:date="2020-05-18T10:35:00Z">
              <w:r>
                <w:rPr>
                  <w:rFonts w:hint="eastAsia"/>
                  <w:color w:val="000000" w:themeColor="text1"/>
                  <w:sz w:val="21"/>
                  <w:szCs w:val="21"/>
                  <w:highlight w:val="none"/>
                  <w14:textFill>
                    <w14:solidFill>
                      <w14:schemeClr w14:val="tx1"/>
                    </w14:solidFill>
                  </w14:textFill>
                </w:rPr>
                <w:t>001lx</w:t>
              </w:r>
            </w:ins>
            <w:r>
              <w:rPr>
                <w:rFonts w:hint="eastAsia"/>
                <w:color w:val="000000" w:themeColor="text1"/>
                <w:sz w:val="21"/>
                <w:szCs w:val="21"/>
                <w:highlight w:val="none"/>
                <w14:textFill>
                  <w14:solidFill>
                    <w14:schemeClr w14:val="tx1"/>
                  </w14:solidFill>
                </w14:textFill>
              </w:rPr>
              <w:t>（彩色模式）、≤0.0002lx（黑白模式）；</w:t>
            </w:r>
          </w:p>
          <w:p>
            <w:pPr>
              <w:pStyle w:val="2"/>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设备支持三码流功能：</w:t>
            </w:r>
          </w:p>
          <w:p>
            <w:pPr>
              <w:pStyle w:val="2"/>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可通过镜头变焦分辨出200米外的物体轮廓；</w:t>
            </w:r>
          </w:p>
          <w:p>
            <w:pPr>
              <w:pStyle w:val="2"/>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设备支持人脸检测、人脸抓拍功能；</w:t>
            </w:r>
          </w:p>
          <w:p>
            <w:pPr>
              <w:pStyle w:val="2"/>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设备可对检测区域内行驶的车辆进行抓拍，白天抓拍率≥90%，夜间抓拍率≥80%；</w:t>
            </w:r>
          </w:p>
          <w:p>
            <w:pPr>
              <w:pStyle w:val="2"/>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设备可对捕获的车辆图片中的车牌进行识别，白天识别率≥90%，夜间识别率≥80%；</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包含配件：1台全景取证主机（内置北斗&amp;GPS、1T硬盘、4G全网通模块）、1台全景云台、1个7寸触摸高清屏、1个手控器、1个三防PAD</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视频通道：全景云台3路（2路前后180°拼接后的图像和1路云台摄像机）+4路IPC相机；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存储容量：标配1T硬盘（最大支持2块2.5寸硬盘）；</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通信模块：4G全网通；</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定位模块：内置，GPS和北斗双模；</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WIFI模块：支持2.4G WiFi；</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电源输入：DC+8V～+36V；</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云台参数：全景：6个摄像头前后两画面各覆盖180°，单镜头像素：2688*1520，拼,分辨率为7256*1520；</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机芯：200万像素，最大分辨率1920x1080，36倍光学变倍</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显示屏：标配7寸LED显示屏，分辨率1280X800 RGB，支持触摸屏操作；</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三防平板：Android操作系统，具备视音频编解码、4G、WIFI无线网络传输、卫星定位等功能；</w:t>
            </w:r>
            <w:r>
              <w:rPr>
                <w:rFonts w:hint="eastAsia" w:ascii="宋体" w:hAnsi="宋体" w:cs="宋体"/>
                <w:color w:val="000000" w:themeColor="text1"/>
                <w:kern w:val="0"/>
                <w:szCs w:val="21"/>
                <w:highlight w:val="none"/>
                <w14:textFill>
                  <w14:solidFill>
                    <w14:schemeClr w14:val="tx1"/>
                  </w14:solidFill>
                </w14:textFill>
              </w:rPr>
              <w:br w:type="textWrapping"/>
            </w:r>
          </w:p>
        </w:tc>
        <w:tc>
          <w:tcPr>
            <w:tcW w:w="33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33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19</w:t>
            </w:r>
          </w:p>
        </w:tc>
      </w:tr>
      <w:tr>
        <w:tblPrEx>
          <w:tblCellMar>
            <w:top w:w="0" w:type="dxa"/>
            <w:left w:w="108" w:type="dxa"/>
            <w:bottom w:w="0" w:type="dxa"/>
            <w:right w:w="108" w:type="dxa"/>
          </w:tblCellMar>
        </w:tblPrEx>
        <w:trPr>
          <w:trHeight w:val="4605" w:hRule="atLeast"/>
        </w:trPr>
        <w:tc>
          <w:tcPr>
            <w:tcW w:w="27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14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安卓系统执法记录仪</w:t>
            </w:r>
          </w:p>
        </w:tc>
        <w:tc>
          <w:tcPr>
            <w:tcW w:w="292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【安卓系统】【4G传输】【人脸识别】【超长续航】</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1080P高清录像；</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内置3000 万相机，照片更清晰；</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具备通过4G 无线通信方式传输视频至中心视频平台功能；</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支持GPS+北斗双模定位，并将位置信息实时上传指挥中心；</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支持红外夜视功能，在光线较暗场景下，也能认清画面中人物的面部特征；</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防水、防尘、防摔（1.8 米跌落），全天候野外作业；</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支持3G 或4G 移动网络和WIFI 网络接入，提供灵活的无线传输方案；</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录音录像互相独立；</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支持前端人脸识别、前端人脸检测抓拍上传；</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支持车牌识别、关键字语音识别</w:t>
            </w:r>
          </w:p>
          <w:p>
            <w:pP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支持外接USB 相机</w:t>
            </w:r>
          </w:p>
          <w:p>
            <w:pPr>
              <w:widowControl/>
              <w:jc w:val="left"/>
              <w:rPr>
                <w:rFonts w:ascii="宋体" w:hAnsi="宋体" w:cs="宋体"/>
                <w:color w:val="000000" w:themeColor="text1"/>
                <w:kern w:val="0"/>
                <w:szCs w:val="21"/>
                <w:highlight w:val="none"/>
                <w14:textFill>
                  <w14:solidFill>
                    <w14:schemeClr w14:val="tx1"/>
                  </w14:solidFill>
                </w14:textFill>
              </w:rPr>
            </w:pPr>
          </w:p>
        </w:tc>
        <w:tc>
          <w:tcPr>
            <w:tcW w:w="33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33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100</w:t>
            </w:r>
          </w:p>
        </w:tc>
      </w:tr>
      <w:tr>
        <w:tblPrEx>
          <w:tblCellMar>
            <w:top w:w="0" w:type="dxa"/>
            <w:left w:w="108" w:type="dxa"/>
            <w:bottom w:w="0" w:type="dxa"/>
            <w:right w:w="108" w:type="dxa"/>
          </w:tblCellMar>
        </w:tblPrEx>
        <w:tc>
          <w:tcPr>
            <w:tcW w:w="273" w:type="pct"/>
            <w:tcBorders>
              <w:top w:val="nil"/>
              <w:left w:val="single" w:color="auto" w:sz="4" w:space="0"/>
              <w:bottom w:val="nil"/>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145" w:type="pct"/>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对接平台接口费</w:t>
            </w:r>
          </w:p>
        </w:tc>
        <w:tc>
          <w:tcPr>
            <w:tcW w:w="2921" w:type="pct"/>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30" w:type="pct"/>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31" w:type="pct"/>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273" w:type="pct"/>
            <w:tcBorders>
              <w:top w:val="nil"/>
              <w:left w:val="single" w:color="auto" w:sz="4" w:space="0"/>
              <w:bottom w:val="single" w:color="auto" w:sz="4" w:space="0"/>
              <w:right w:val="single" w:color="auto" w:sz="4" w:space="0"/>
            </w:tcBorders>
            <w:shd w:val="clear" w:color="auto" w:fill="auto"/>
            <w:noWrap/>
            <w:vAlign w:val="center"/>
          </w:tcPr>
          <w:p>
            <w:pPr>
              <w:widowControl/>
              <w:rPr>
                <w:rFonts w:ascii="宋体" w:hAnsi="宋体" w:cs="宋体"/>
                <w:color w:val="000000" w:themeColor="text1"/>
                <w:kern w:val="0"/>
                <w:szCs w:val="21"/>
                <w:highlight w:val="none"/>
                <w14:textFill>
                  <w14:solidFill>
                    <w14:schemeClr w14:val="tx1"/>
                  </w14:solidFill>
                </w14:textFill>
              </w:rPr>
            </w:pPr>
          </w:p>
        </w:tc>
        <w:tc>
          <w:tcPr>
            <w:tcW w:w="114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921"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330" w:type="pct"/>
            <w:tcBorders>
              <w:top w:val="nil"/>
              <w:left w:val="nil"/>
              <w:bottom w:val="single" w:color="auto" w:sz="4" w:space="0"/>
              <w:right w:val="single" w:color="auto" w:sz="4" w:space="0"/>
            </w:tcBorders>
            <w:shd w:val="clear" w:color="auto" w:fill="auto"/>
            <w:noWrap/>
            <w:vAlign w:val="center"/>
          </w:tcPr>
          <w:p>
            <w:pPr>
              <w:widowControl/>
              <w:rPr>
                <w:rFonts w:ascii="宋体" w:hAnsi="宋体" w:cs="宋体"/>
                <w:color w:val="000000" w:themeColor="text1"/>
                <w:kern w:val="0"/>
                <w:szCs w:val="21"/>
                <w:highlight w:val="none"/>
                <w14:textFill>
                  <w14:solidFill>
                    <w14:schemeClr w14:val="tx1"/>
                  </w14:solidFill>
                </w14:textFill>
              </w:rPr>
            </w:pPr>
          </w:p>
        </w:tc>
        <w:tc>
          <w:tcPr>
            <w:tcW w:w="331" w:type="pct"/>
            <w:tcBorders>
              <w:top w:val="nil"/>
              <w:left w:val="nil"/>
              <w:bottom w:val="single" w:color="auto" w:sz="4" w:space="0"/>
              <w:right w:val="single" w:color="auto" w:sz="4" w:space="0"/>
            </w:tcBorders>
            <w:shd w:val="clear" w:color="auto" w:fill="auto"/>
            <w:noWrap/>
            <w:vAlign w:val="center"/>
          </w:tcPr>
          <w:p>
            <w:pPr>
              <w:widowControl/>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c>
          <w:tcPr>
            <w:tcW w:w="27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145"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通信流量费</w:t>
            </w:r>
          </w:p>
        </w:tc>
        <w:tc>
          <w:tcPr>
            <w:tcW w:w="2921"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3年通信流量费，每套每月20G流量</w:t>
            </w:r>
          </w:p>
        </w:tc>
        <w:tc>
          <w:tcPr>
            <w:tcW w:w="33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31"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120</w:t>
            </w:r>
          </w:p>
        </w:tc>
      </w:tr>
    </w:tbl>
    <w:p>
      <w:pPr>
        <w:pStyle w:val="4"/>
        <w:rPr>
          <w:rFonts w:hint="default" w:eastAsia="宋体"/>
          <w:color w:val="000000" w:themeColor="text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3.10操作席及灯带监控系统</w:t>
      </w:r>
    </w:p>
    <w:p>
      <w:pPr>
        <w:pStyle w:val="5"/>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3.10.1系统概述</w:t>
      </w:r>
    </w:p>
    <w:p>
      <w:pPr>
        <w:spacing w:line="360" w:lineRule="auto"/>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项目需定制控制席位，合成作战指挥中心坐席32个席位，合成作战指挥中心13人U型会商桌指挥席，110接处警中心坐席16个席位，研判室26人会议桌。并在指挥大厅及110接警区坐席上设置灯带控制台，共计46套。灯带控制采用转串口的方式，单台控制器可控制65台灯带解码器并将转成串口信号连接至主控计算机。同时包括大厅周边功能区桌椅54套、会议桌、茶水间、决策室等区域其他办公家具。</w:t>
      </w:r>
      <w:r>
        <w:rPr>
          <w:rFonts w:hint="eastAsia" w:ascii="宋体" w:hAnsi="宋体" w:cs="宋体"/>
          <w:color w:val="000000" w:themeColor="text1"/>
          <w:szCs w:val="21"/>
          <w:highlight w:val="none"/>
          <w:lang w:val="en-US" w:eastAsia="zh-CN"/>
          <w14:textFill>
            <w14:solidFill>
              <w14:schemeClr w14:val="tx1"/>
            </w14:solidFill>
          </w14:textFill>
        </w:rPr>
        <w:t>其中办公家具报价为暂估价，具体以实际价格和实际数量结算为准。</w:t>
      </w:r>
    </w:p>
    <w:p>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本系统灯带可提供16种基本颜色如下： 红、橙、黄、绿、蓝、青、紫、金、粉红、玫瑰、梅红、海绿、浅绿、浅蓝、桔黄、白。可根基不同的警情设置不同的颜色。系统可实现多组灯带的统一控制与单灯带控制，还具有灯带亮度控制与灯光频闪控制（闪烁频率可调）等功能。灯带采用进口高透光性透明亚克力蓝（红）光灯带（LED冷光灯，耗电量极低），可由主开关控制灯光变换，电压12V。</w:t>
      </w:r>
    </w:p>
    <w:p>
      <w:pPr>
        <w:spacing w:line="360" w:lineRule="auto"/>
        <w:ind w:firstLine="48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系统自带报警功能，可设置蓝色常亮为常态，红色闪烁模式为报警的提醒方式，将信号传达到主管部门，用于应急警示提醒。主操作台将设置唯一的声音报警装置，一旦有重大警情，声音警报也将响起，使得声音与报警灯光分离控制与管理。具备多重同时报警提示功能。同时此灯光警示系统还解决了有多个（2个或以上）重大警情的情况，每个接警元员同时按动警报，各自席位的控制台上的灯光变为红色闪烁，可第一时间将报警信号同时传递给主管领导，在第一时间得到处理，互不影响，解决了传统方式带来的种种弊端。</w:t>
      </w:r>
    </w:p>
    <w:p>
      <w:pPr>
        <w:pStyle w:val="5"/>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.2技术规格、参数及要求</w:t>
      </w:r>
    </w:p>
    <w:tbl>
      <w:tblPr>
        <w:tblStyle w:val="13"/>
        <w:tblW w:w="5051" w:type="pct"/>
        <w:tblInd w:w="0" w:type="dxa"/>
        <w:tblLayout w:type="fixed"/>
        <w:tblCellMar>
          <w:top w:w="0" w:type="dxa"/>
          <w:left w:w="108" w:type="dxa"/>
          <w:bottom w:w="0" w:type="dxa"/>
          <w:right w:w="108" w:type="dxa"/>
        </w:tblCellMar>
      </w:tblPr>
      <w:tblGrid>
        <w:gridCol w:w="56"/>
        <w:gridCol w:w="392"/>
        <w:gridCol w:w="78"/>
        <w:gridCol w:w="1378"/>
        <w:gridCol w:w="412"/>
        <w:gridCol w:w="864"/>
        <w:gridCol w:w="90"/>
        <w:gridCol w:w="836"/>
        <w:gridCol w:w="4091"/>
        <w:gridCol w:w="327"/>
        <w:gridCol w:w="143"/>
        <w:gridCol w:w="625"/>
        <w:gridCol w:w="64"/>
        <w:gridCol w:w="599"/>
      </w:tblGrid>
      <w:tr>
        <w:tblPrEx>
          <w:tblCellMar>
            <w:top w:w="0" w:type="dxa"/>
            <w:left w:w="108" w:type="dxa"/>
            <w:bottom w:w="0" w:type="dxa"/>
            <w:right w:w="108" w:type="dxa"/>
          </w:tblCellMar>
        </w:tblPrEx>
        <w:tc>
          <w:tcPr>
            <w:tcW w:w="22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序号</w:t>
            </w:r>
          </w:p>
        </w:tc>
        <w:tc>
          <w:tcPr>
            <w:tcW w:w="1372"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设备名称</w:t>
            </w:r>
          </w:p>
        </w:tc>
        <w:tc>
          <w:tcPr>
            <w:tcW w:w="2684"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规格参数</w:t>
            </w:r>
          </w:p>
        </w:tc>
        <w:tc>
          <w:tcPr>
            <w:tcW w:w="385"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w:t>
            </w:r>
          </w:p>
        </w:tc>
        <w:tc>
          <w:tcPr>
            <w:tcW w:w="332"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合成作战指挥中心坐席</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1、席位数量：共30个席位；</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2、尺寸：总延米长度约56600mm，深度1000mm，高度740mm，背墙高度292mm，柜内框架深度520mm；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调度控制台结合控制中性实际应用场景，其内部设有专业的走线槽。走线槽分为纵向、横向、竖向三个方向，足可以满足系统需求，并配置相应的扎线孔，使布线规范整齐、顺畅美观、合理安全；线槽具有强、弱电分离走线方式，可以合理有序的进行布线，并保证后期维护、更换的方便性和灵活性；同时操作台内部可选配标准的19英寸配线框，以便19英寸标准的设备安装与维护。</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面板要求：台面表面覆盖层具有耐热、耐烟灼、耐撞击、耐潮湿、防水、耐腐蚀的高强度高压耐磨板（HPL），所使用的实木颗粒板甲醛释放量符合国家标准，整体厚度不低于26mm，两块大面板之间对应开箭头槽，使用M6螺杆连接，整体连接后平整、光滑、无缝隙，并通过自攻螺钉与主体框架链接一体；HPL覆盖层：额定厚度不小于1.0 mm；厚度误差为± 0.12mm以内（含本数）；磨损阻抗不小于400周期；台面为实木颗粒板双面贴防火板时，前侧采用39mm鸭嘴封边手枕，后侧采用T型封边，所有封边应与桌面材质无缝粘接，保证整体外观协调统一；4)台面通过调整结构，始终保持平滑及水平，并且符合人体工学的标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4、嵌入式点对点灯光告警系统（PTP ACAS）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控制台具备一定的独立警示辅助功能，需集成并采用LED灯光警示控制系统进行接警员与值班领导的警示提醒，提高接处警的反应速度，在一定程度上取代声音报警的传统方式。此系统需选用能耗低、系统稳定的点对点控制单元。</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 采用进口高透光性透明亚克力蓝（红）光灯带（LED冷光灯，耗电量极低），可由主开关控制灯光变换，电压12V。（蓝红两色为警用报警色）</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 亚克力灯带嵌于控制台后背墙板上，高度200mm，厚度不小于10mm，可根据实际情况，在后期深化设计中进行合理排布与设计。</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 系统自带报警功能，可设置蓝色常亮为常态，红色闪烁模式为报警的提醒方式，将信号传达到主管部门，用于应急警示提醒。主操作台将设置唯一的声音报警装置，一旦有重大警情，声音警报也将响起，使得声音与报警灯光分离控制与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 具备多重同时报警提示功能。同时此灯光警示系统还解决了有多个（2个或以上）重大警情的情况，每个接警元员同时按动警报，各自席位的控制台上的灯光变为红色闪烁，可第一时间将报警信号同时传递给主管领导，在第一时间得到处理，互不影响，解决了传统方式带来的种种弊端。</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56.6</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110接处警中心坐席</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1、席位数量：共16个席位；</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2、尺寸：总延米长度约29400mm，深度1000mm，高度740mm，背墙高度450mm，柜内框架深度360mm；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面板要求：面板使用三聚氰胺板，整体厚度不低于25mm;前后门板使用三聚氰胺板加工工，整体厚度不低于20mm，两块大面板之间对应开箭头槽，使用M6螺杆连接，整体连接后平整、光滑、无缝隙，并通过自攻螺钉与主体框架链接一体；</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4、嵌入式点对点灯光告警系统（PTP ACAS）</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控制台具备一定的独立警示辅助功能，需集成并采用LED灯光警示控制系统进行接警员与值班领导的警示提醒，提高接处警的反应速度，在一定程度上取代声音报警的传统方式。此系统需选用能耗低、系统稳定的点对点控制单元。1) 采用进口高透光性透明亚克力蓝（红）光灯带（LED冷光灯，耗电量极低），可由主开关控制灯光变换，电压12V。（蓝红两色为警用报警色）</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 亚克力灯带嵌于控制台后背墙板上，高度200mm，厚度不小于10mm，可根据实际情况，在后期深化设计中进行合理排布与设计。</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 系统自带报警功能，可设置蓝色常亮为常态，红色闪烁模式为报警的提醒方式，将信号传达到主管部门，用于应急警示提醒。主操作台将设置唯一的声音报警装置，一旦有重大警情，声音警报也将响起，使得声音与报警灯光分离控制与管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 具备多重同时报警提示功能。同时此灯光警示系统还解决了有多个（2个或以上）重大警情的情况，每个接警元员同时按动警报，各自席位的控制台上的灯光变为红色闪烁，可第一时间将报警信号同时传递给主管领导，在第一时间得到处理，互不影响，解决了传统方式带来的种种弊端。</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29.4</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U型会商桌</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13人U型会商桌</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会议桌整体采用模块组合式设计，方便拆卸以及将来的扩展，内部结构具有较大的可调整性，辅有专业的各式设备承托架及内配件，使安装与调整更加方便简洁；为维护者提供最佳的设备可接近性安装，便于内部设备（计算机、各类终端面板、电源插座、线缆等）的安装和维护;同时为操作者提供最佳的观看和沟通空间，从而提高工作效率；</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安装与维护的灵活性：会议桌前面均有易于打开的前门板，方便内部设备检修；</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由于考虑到将来会议中心人员的扩充和调整，要求整个会议桌的组成为模块化结构，会议桌主体框架为钣金和铝型材混合结构，并且制造厂商根据会议桌的形状设计，用户可以根据自己的需求提供增加或减少席位；</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13.6</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研判室会议桌</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26人领导研判会议桌，会议桌尺寸为9150mm*3100mm*720mm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会议桌整体采用模块组合式设计，方便拆卸以及将来的扩展，内部结构具有较大的可调整性，辅有专业的各式设备承托架及内配件，使安装与调整更加方便简洁；为维护者提供最佳的设备可接近性安装，便于内部设备（计算机、各类终端面板、电源插座、线缆等）的安装和维护;同时为操作者提供最佳的观看和沟通空间，从而提高工作效率；</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安装与维护的灵活性：会议桌前面均有易于打开的前门板，方便内部设备检修；</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由于考虑到将来会议中心人员的扩充和调整，要求整个会议桌的组成为模块化结构，会议桌主体框架为钣金和铝型材混合结构，并且制造厂商根据会议桌的形状设计，用户可以根据自己的需求提供增加或减少席位；</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张</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显示器支臂</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层液压悬停显示器支臂；²能承受8.4公斤、30英寸以下屏幕负载；²具备可伸展的能力，最大和最小距离应满足普通个人的视距要求；可以实现空间180°旋转/平面内360°旋转；高度应可以在一定范围内的上下调整，前后倾角应满足正负40度；²符合VESA国际安装标准孔位：75×75mm和100×100mm；显示器悬挂手臂的底座具备快速拆装功能，可任意背墙位置定位和固定。</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108</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调度椅</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人体工程学设计，使用同步倾仰机构，可自由调节头靠、腰靠及扶手位置，椅座能久坐而不变形，调度座椅要求头靠、腰靠位置可动态调整，座椅扶手可同步调整。</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把</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46</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四脚实木会议椅</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1、优质实木框架；内板采用多层实木板加压而成厚约 12mm（±2mm）；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2、木质材料须经过严格的杀菌、杀虫处理；</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3、采用优质真皮饰面；皮厚度1.0mm以上；表面带有保护面，具防氧化作用；座垫内芯物料采用低燃高密泡棉，软硬适当，坐感舒适，回弹性好，永不变形 ；</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4、功能全部根据力学，人体学原理设计；</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把</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39</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键盘托盘</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抽拉式，金属材质，使用优质滚珠导轨，抽拉灵活，左右晃动少；²前端边缘位置应设计有柔性皮制腕垫，保护皮肤不受伤害，长时间使用手腕亦无疲劳感</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46</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电源插排</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²采用标准19英寸PDU电源分配模块，其外壳应采用铝合金，黑色表面；²电气性能符合IEC标准；²输入端插头形式采用国标三孔；²额定电压/额定电流：220V/10A；²带电源开关及开关有灯光提醒；²具有过流保护功能；²有接地安装位置。</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条</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69</w:t>
            </w:r>
          </w:p>
        </w:tc>
      </w:tr>
      <w:tr>
        <w:tblPrEx>
          <w:tblCellMar>
            <w:top w:w="0" w:type="dxa"/>
            <w:left w:w="108" w:type="dxa"/>
            <w:bottom w:w="0" w:type="dxa"/>
            <w:right w:w="108" w:type="dxa"/>
          </w:tblCellMar>
        </w:tblPrEx>
        <w:tc>
          <w:tcPr>
            <w:tcW w:w="225" w:type="pct"/>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w:t>
            </w:r>
          </w:p>
        </w:tc>
        <w:tc>
          <w:tcPr>
            <w:tcW w:w="1372"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多媒体桌插</w:t>
            </w:r>
          </w:p>
        </w:tc>
        <w:tc>
          <w:tcPr>
            <w:tcW w:w="2684" w:type="pct"/>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²采用盒式结构，可以嵌入桌面的，安装牢靠；采用翻盖式开启，采用铝合金板，表面采用阳极氧化拉丝一体成型工艺；</w:t>
            </w:r>
          </w:p>
        </w:tc>
        <w:tc>
          <w:tcPr>
            <w:tcW w:w="385"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32"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46</w:t>
            </w:r>
          </w:p>
        </w:tc>
      </w:tr>
      <w:tr>
        <w:tblPrEx>
          <w:shd w:val="clear" w:color="auto" w:fill="auto"/>
          <w:tblCellMar>
            <w:top w:w="0" w:type="dxa"/>
            <w:left w:w="0" w:type="dxa"/>
            <w:bottom w:w="0" w:type="dxa"/>
            <w:right w:w="0" w:type="dxa"/>
          </w:tblCellMar>
        </w:tblPrEx>
        <w:trPr>
          <w:gridBefore w:val="1"/>
          <w:wBefore w:w="28" w:type="pct"/>
          <w:trHeight w:val="480" w:hRule="atLeast"/>
        </w:trPr>
        <w:tc>
          <w:tcPr>
            <w:tcW w:w="4088"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eastAsia="zh-CN"/>
                <w14:textFill>
                  <w14:solidFill>
                    <w14:schemeClr w14:val="tx1"/>
                  </w14:solidFill>
                </w14:textFill>
              </w:rPr>
            </w:pPr>
            <w:r>
              <w:rPr>
                <w:rFonts w:hint="eastAsia" w:ascii="宋体" w:hAnsi="宋体" w:cs="宋体"/>
                <w:i w:val="0"/>
                <w:color w:val="000000" w:themeColor="text1"/>
                <w:sz w:val="22"/>
                <w:szCs w:val="22"/>
                <w:highlight w:val="none"/>
                <w:u w:val="none"/>
                <w:lang w:val="en-US" w:eastAsia="zh-CN"/>
                <w14:textFill>
                  <w14:solidFill>
                    <w14:schemeClr w14:val="tx1"/>
                  </w14:solidFill>
                </w14:textFill>
              </w:rPr>
              <w:t xml:space="preserve">             办公家具类</w:t>
            </w:r>
          </w:p>
        </w:tc>
        <w:tc>
          <w:tcPr>
            <w:tcW w:w="236"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p>
        </w:tc>
        <w:tc>
          <w:tcPr>
            <w:tcW w:w="346" w:type="pct"/>
            <w:gridSpan w:val="2"/>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themeColor="text1"/>
                <w:sz w:val="22"/>
                <w:szCs w:val="22"/>
                <w:highlight w:val="none"/>
                <w:u w:val="none"/>
                <w14:textFill>
                  <w14:solidFill>
                    <w14:schemeClr w14:val="tx1"/>
                  </w14:solidFill>
                </w14:textFill>
              </w:rPr>
            </w:pPr>
          </w:p>
        </w:tc>
        <w:tc>
          <w:tcPr>
            <w:tcW w:w="300" w:type="pct"/>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themeColor="text1"/>
                <w:sz w:val="22"/>
                <w:szCs w:val="22"/>
                <w:highlight w:val="none"/>
                <w:u w:val="none"/>
                <w14:textFill>
                  <w14:solidFill>
                    <w14:schemeClr w14:val="tx1"/>
                  </w14:solidFill>
                </w14:textFill>
              </w:rPr>
            </w:pPr>
          </w:p>
        </w:tc>
      </w:tr>
      <w:tr>
        <w:tblPrEx>
          <w:shd w:val="clear" w:color="auto" w:fill="auto"/>
          <w:tblCellMar>
            <w:top w:w="0" w:type="dxa"/>
            <w:left w:w="0" w:type="dxa"/>
            <w:bottom w:w="0" w:type="dxa"/>
            <w:right w:w="0" w:type="dxa"/>
          </w:tblCellMar>
        </w:tblPrEx>
        <w:trPr>
          <w:gridBefore w:val="1"/>
          <w:wBefore w:w="28" w:type="pct"/>
          <w:trHeight w:val="480" w:hRule="atLeast"/>
        </w:trPr>
        <w:tc>
          <w:tcPr>
            <w:tcW w:w="4088" w:type="pct"/>
            <w:gridSpan w:val="8"/>
            <w:tcBorders>
              <w:top w:val="nil"/>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color w:val="000000" w:themeColor="text1"/>
                <w:highlight w:val="none"/>
                <w:lang w:val="en-US" w:eastAsia="zh-CN"/>
                <w14:textFill>
                  <w14:solidFill>
                    <w14:schemeClr w14:val="tx1"/>
                  </w14:solidFill>
                </w14:textFill>
              </w:rPr>
            </w:pPr>
          </w:p>
          <w:p>
            <w:pPr>
              <w:pStyle w:val="2"/>
              <w:ind w:firstLine="4620" w:firstLineChars="2100"/>
              <w:rPr>
                <w:rFonts w:hint="eastAsia"/>
                <w:color w:val="000000" w:themeColor="text1"/>
                <w:highlight w:val="none"/>
                <w:lang w:val="en-US" w:eastAsia="zh-CN"/>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一层</w:t>
            </w:r>
          </w:p>
        </w:tc>
        <w:tc>
          <w:tcPr>
            <w:tcW w:w="236" w:type="pct"/>
            <w:gridSpan w:val="2"/>
            <w:tcBorders>
              <w:top w:val="nil"/>
              <w:left w:val="nil"/>
              <w:bottom w:val="single" w:color="auto"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p>
        </w:tc>
        <w:tc>
          <w:tcPr>
            <w:tcW w:w="346" w:type="pct"/>
            <w:gridSpan w:val="2"/>
            <w:tcBorders>
              <w:top w:val="nil"/>
              <w:left w:val="nil"/>
              <w:bottom w:val="single" w:color="auto"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themeColor="text1"/>
                <w:sz w:val="22"/>
                <w:szCs w:val="22"/>
                <w:highlight w:val="none"/>
                <w:u w:val="none"/>
                <w14:textFill>
                  <w14:solidFill>
                    <w14:schemeClr w14:val="tx1"/>
                  </w14:solidFill>
                </w14:textFill>
              </w:rPr>
            </w:pPr>
          </w:p>
        </w:tc>
        <w:tc>
          <w:tcPr>
            <w:tcW w:w="300" w:type="pct"/>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themeColor="text1"/>
                <w:sz w:val="22"/>
                <w:szCs w:val="22"/>
                <w:highlight w:val="none"/>
                <w:u w:val="none"/>
                <w14:textFill>
                  <w14:solidFill>
                    <w14:schemeClr w14:val="tx1"/>
                  </w14:solidFill>
                </w14:textFill>
              </w:rPr>
            </w:pPr>
          </w:p>
        </w:tc>
      </w:tr>
      <w:tr>
        <w:tblPrEx>
          <w:shd w:val="clear" w:color="auto" w:fill="auto"/>
          <w:tblCellMar>
            <w:top w:w="0" w:type="dxa"/>
            <w:left w:w="0" w:type="dxa"/>
            <w:bottom w:w="0" w:type="dxa"/>
            <w:right w:w="0" w:type="dxa"/>
          </w:tblCellMar>
        </w:tblPrEx>
        <w:trPr>
          <w:gridBefore w:val="1"/>
          <w:wBefore w:w="28" w:type="pct"/>
          <w:trHeight w:val="48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lang w:val="en-US" w:eastAsia="zh-CN"/>
                <w14:textFill>
                  <w14:solidFill>
                    <w14:schemeClr w14:val="tx1"/>
                  </w14:solidFill>
                </w14:textFill>
              </w:rPr>
            </w:pPr>
            <w:r>
              <w:rPr>
                <w:rFonts w:hint="eastAsia" w:ascii="宋体" w:hAnsi="宋体" w:cs="宋体"/>
                <w:i w:val="0"/>
                <w:color w:val="000000" w:themeColor="text1"/>
                <w:sz w:val="22"/>
                <w:szCs w:val="22"/>
                <w:highlight w:val="none"/>
                <w:u w:val="none"/>
                <w:lang w:val="en-US" w:eastAsia="zh-CN"/>
                <w14:textFill>
                  <w14:solidFill>
                    <w14:schemeClr w14:val="tx1"/>
                  </w14:solidFill>
                </w14:textFill>
              </w:rPr>
              <w:t>序号</w:t>
            </w:r>
          </w:p>
        </w:tc>
        <w:tc>
          <w:tcPr>
            <w:tcW w:w="89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名称</w:t>
            </w:r>
          </w:p>
        </w:tc>
        <w:tc>
          <w:tcPr>
            <w:tcW w:w="899"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规格（mm）</w:t>
            </w:r>
          </w:p>
        </w:tc>
        <w:tc>
          <w:tcPr>
            <w:tcW w:w="2290" w:type="pct"/>
            <w:gridSpan w:val="3"/>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材质说明</w:t>
            </w:r>
          </w:p>
        </w:tc>
        <w:tc>
          <w:tcPr>
            <w:tcW w:w="346"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单位</w:t>
            </w:r>
          </w:p>
        </w:tc>
        <w:tc>
          <w:tcPr>
            <w:tcW w:w="300" w:type="pct"/>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数量</w:t>
            </w:r>
          </w:p>
        </w:tc>
      </w:tr>
      <w:tr>
        <w:tblPrEx>
          <w:shd w:val="clear" w:color="auto" w:fill="auto"/>
          <w:tblCellMar>
            <w:top w:w="0" w:type="dxa"/>
            <w:left w:w="0" w:type="dxa"/>
            <w:bottom w:w="0" w:type="dxa"/>
            <w:right w:w="0" w:type="dxa"/>
          </w:tblCellMar>
        </w:tblPrEx>
        <w:trPr>
          <w:gridBefore w:val="1"/>
          <w:wBefore w:w="28" w:type="pct"/>
          <w:trHeight w:val="455"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w:t>
            </w:r>
          </w:p>
        </w:tc>
        <w:tc>
          <w:tcPr>
            <w:tcW w:w="89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单人桌</w:t>
            </w:r>
          </w:p>
        </w:tc>
        <w:tc>
          <w:tcPr>
            <w:tcW w:w="899"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1200*600*750</w:t>
            </w:r>
          </w:p>
        </w:tc>
        <w:tc>
          <w:tcPr>
            <w:tcW w:w="2290" w:type="pct"/>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1、贴面：德国夏特（SCHATTDECOR）饰面，具有纹理清晰、实木感强、色牢度高、防水防污耐磨等特点；</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2、基材：E1级高密度环保实木颗粒板（MFC）；木材经防虫、防潮、防腐、二次烘干蒸发处理，含水率≤7%；甲醛含量≤9mg/100g（1mg/L）；密度≧760kg/m³；静曲张度≧51.2Mpa；物理力学性能符合GB/T 3324-2008标准；</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3、封边：PVC胶边，优质热熔胶；</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4、五金配件：优质液压缓冲铰链；导轨；三连锁</w:t>
            </w:r>
          </w:p>
        </w:tc>
        <w:tc>
          <w:tcPr>
            <w:tcW w:w="346" w:type="pct"/>
            <w:gridSpan w:val="2"/>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张</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54</w:t>
            </w:r>
          </w:p>
        </w:tc>
      </w:tr>
      <w:tr>
        <w:tblPrEx>
          <w:shd w:val="clear" w:color="auto" w:fill="auto"/>
          <w:tblCellMar>
            <w:top w:w="0" w:type="dxa"/>
            <w:left w:w="0" w:type="dxa"/>
            <w:bottom w:w="0" w:type="dxa"/>
            <w:right w:w="0" w:type="dxa"/>
          </w:tblCellMar>
        </w:tblPrEx>
        <w:trPr>
          <w:gridBefore w:val="1"/>
          <w:wBefore w:w="28" w:type="pct"/>
          <w:trHeight w:val="240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2</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单人椅</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常规</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1、符合公椅行业标准QB/T2280-2007，以及通过美国BIFMA5.1  2011测试。</w:t>
            </w:r>
          </w:p>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2、背：通过12万次后拉疲劳测试和79KG静压测试。背框为尼龙加纤（PA+GF）高强度塑料材质；柔韧度高，受撞击能力强度强，腰包有加气功能，上下调节。</w:t>
            </w:r>
          </w:p>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3、座： PA+GF（尼龙+玻璃纤维），能承受102KG冲击测试，座可前后滑动5CM。</w:t>
            </w:r>
          </w:p>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3、螺丝：经过冷热加硬、电脑烤漆处理。螺齿喷防退漆，长久使用螺丝不会松退，不会发出响声。　</w:t>
            </w:r>
          </w:p>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4、气压杆：通过旋转测试，360度1个周期，测试12万次；通过升降测试10万次。</w:t>
            </w:r>
          </w:p>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5、五爪脚：PA尼龙，上面不锈钢装饰片，线条优美，可通过1136KG静力测试。 </w:t>
            </w:r>
          </w:p>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6、脚轮：PA+PU脚轮，能通过2千次阻碍测试和9万8千次平滑测试。</w:t>
            </w:r>
          </w:p>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7、底盘：A3钢，分体逍遥，可自动根据人体重量调节逍遥力度。  </w:t>
            </w:r>
          </w:p>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8、扶手：分别PU扶手，ABS电镀扶手盒，PA尼龙扶手杆，扶手能上下升降，能通过76KG垂直静压测试，40KG水平静压测试和40KG侧压疲劳测试。</w:t>
            </w:r>
          </w:p>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9：面料：背，涤纶网；座，特网，PE+涤纶。</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把</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54</w:t>
            </w:r>
          </w:p>
        </w:tc>
      </w:tr>
      <w:tr>
        <w:tblPrEx>
          <w:shd w:val="clear" w:color="auto" w:fill="auto"/>
          <w:tblCellMar>
            <w:top w:w="0" w:type="dxa"/>
            <w:left w:w="0" w:type="dxa"/>
            <w:bottom w:w="0" w:type="dxa"/>
            <w:right w:w="0" w:type="dxa"/>
          </w:tblCellMar>
        </w:tblPrEx>
        <w:trPr>
          <w:gridBefore w:val="1"/>
          <w:wBefore w:w="28" w:type="pct"/>
          <w:trHeight w:val="240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3</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单人床</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1200*2000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1.所有床架材料采用俄罗斯樟子松；</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2.床腿：采用60mm×70mm，顶端半圆弧处理；</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3.床沿：主梁规格：25mm*120mm，副梁：,25mm*60mm，护栏中间直档60mm×25mm，护栏高度≥250mm； </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4.床框横撑：采用3.5mm×5mm，每个床框不少于5根，且处于同一水平面；</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5.床梯：采用17mm樟子松集成材</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6.床板：采用100×1.5mm厚优质干燥杉木板，透气缝8-10mm；</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床</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17</w:t>
            </w:r>
          </w:p>
        </w:tc>
      </w:tr>
      <w:tr>
        <w:tblPrEx>
          <w:shd w:val="clear" w:color="auto" w:fill="auto"/>
          <w:tblCellMar>
            <w:top w:w="0" w:type="dxa"/>
            <w:left w:w="0" w:type="dxa"/>
            <w:bottom w:w="0" w:type="dxa"/>
            <w:right w:w="0" w:type="dxa"/>
          </w:tblCellMar>
        </w:tblPrEx>
        <w:trPr>
          <w:gridBefore w:val="1"/>
          <w:wBefore w:w="28" w:type="pct"/>
          <w:trHeight w:val="240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4</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单人床（上下铺）</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1000*2000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1.所有床架材料采用俄罗斯樟子松；</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2.床腿：采用60mm×70mm，顶端半圆弧处理；</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3.床沿：主梁规格：25mm*120mm，副梁：,25mm*60mm，护栏中间直档60mm×25mm，护栏高度≥250mm； </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4.床框横撑：采用3.5mm×5mm，每个床框不少于5根，且处于同一水平面；</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5.床梯：采用17mm樟子松集成材</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6.床板：采用100×1.5mm厚优质干燥杉木板，透气缝8-10mm；</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床</w:t>
            </w:r>
          </w:p>
        </w:tc>
        <w:tc>
          <w:tcPr>
            <w:tcW w:w="300" w:type="pct"/>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15</w:t>
            </w:r>
          </w:p>
        </w:tc>
      </w:tr>
      <w:tr>
        <w:tblPrEx>
          <w:shd w:val="clear" w:color="auto" w:fill="auto"/>
          <w:tblCellMar>
            <w:top w:w="0" w:type="dxa"/>
            <w:left w:w="0" w:type="dxa"/>
            <w:bottom w:w="0" w:type="dxa"/>
            <w:right w:w="0" w:type="dxa"/>
          </w:tblCellMar>
        </w:tblPrEx>
        <w:trPr>
          <w:gridBefore w:val="1"/>
          <w:wBefore w:w="28" w:type="pct"/>
          <w:trHeight w:val="118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5</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床头柜</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常规</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采用俄罗斯樟子松,优质五金配件</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个</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15</w:t>
            </w:r>
          </w:p>
        </w:tc>
      </w:tr>
      <w:tr>
        <w:tblPrEx>
          <w:shd w:val="clear" w:color="auto" w:fill="auto"/>
          <w:tblCellMar>
            <w:top w:w="0" w:type="dxa"/>
            <w:left w:w="0" w:type="dxa"/>
            <w:bottom w:w="0" w:type="dxa"/>
            <w:right w:w="0" w:type="dxa"/>
          </w:tblCellMar>
        </w:tblPrEx>
        <w:trPr>
          <w:gridBefore w:val="1"/>
          <w:wBefore w:w="28" w:type="pct"/>
          <w:trHeight w:val="78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6</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衣柜</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1800*850*420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采用优质冷轧钢</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个</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41</w:t>
            </w:r>
          </w:p>
        </w:tc>
      </w:tr>
      <w:tr>
        <w:tblPrEx>
          <w:shd w:val="clear" w:color="auto" w:fill="auto"/>
          <w:tblCellMar>
            <w:top w:w="0" w:type="dxa"/>
            <w:left w:w="0" w:type="dxa"/>
            <w:bottom w:w="0" w:type="dxa"/>
            <w:right w:w="0" w:type="dxa"/>
          </w:tblCellMar>
        </w:tblPrEx>
        <w:trPr>
          <w:gridBefore w:val="1"/>
          <w:wBefore w:w="28" w:type="pct"/>
          <w:trHeight w:val="96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7</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文件柜</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1800*850*390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采用优质冷轧钢</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个</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36</w:t>
            </w:r>
          </w:p>
        </w:tc>
      </w:tr>
      <w:tr>
        <w:tblPrEx>
          <w:shd w:val="clear" w:color="auto" w:fill="auto"/>
          <w:tblCellMar>
            <w:top w:w="0" w:type="dxa"/>
            <w:left w:w="0" w:type="dxa"/>
            <w:bottom w:w="0" w:type="dxa"/>
            <w:right w:w="0" w:type="dxa"/>
          </w:tblCellMar>
        </w:tblPrEx>
        <w:trPr>
          <w:gridBefore w:val="1"/>
          <w:wBefore w:w="28" w:type="pct"/>
          <w:trHeight w:val="256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8</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打印机碎纸机台面</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1200*600*750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1、贴面：德国夏特（SCHATTDECOR）饰面，具有纹理清晰、实木感强、色牢度高、防水防污耐磨等特点；</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2、基材：E1级高密度环保实木颗粒板（MFC）；木材经防虫、防潮、防腐、二次烘干蒸发处理，含水率≤7%；甲醛含量≤9mg/100g（1mg/L）；密度≧760kg/m³；静曲张度≧51.2Mpa；物理力学性能符合GB/T 3324-2008标准；</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3、封边：PVC胶边，优质热熔胶；</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4、五金配件：优质液压缓冲铰链；导轨；三连锁</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台</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w:t>
            </w:r>
          </w:p>
        </w:tc>
      </w:tr>
      <w:tr>
        <w:tblPrEx>
          <w:shd w:val="clear" w:color="auto" w:fill="auto"/>
          <w:tblCellMar>
            <w:top w:w="0" w:type="dxa"/>
            <w:left w:w="0" w:type="dxa"/>
            <w:bottom w:w="0" w:type="dxa"/>
            <w:right w:w="0" w:type="dxa"/>
          </w:tblCellMar>
        </w:tblPrEx>
        <w:trPr>
          <w:gridBefore w:val="1"/>
          <w:wBefore w:w="28" w:type="pct"/>
          <w:trHeight w:val="72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9</w:t>
            </w:r>
          </w:p>
        </w:tc>
        <w:tc>
          <w:tcPr>
            <w:tcW w:w="6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上下铺床头柜</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常规</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采用俄罗斯樟子松,优质五金配件</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个</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9</w:t>
            </w:r>
          </w:p>
        </w:tc>
      </w:tr>
      <w:tr>
        <w:tblPrEx>
          <w:shd w:val="clear" w:color="auto" w:fill="auto"/>
          <w:tblCellMar>
            <w:top w:w="0" w:type="dxa"/>
            <w:left w:w="0" w:type="dxa"/>
            <w:bottom w:w="0" w:type="dxa"/>
            <w:right w:w="0" w:type="dxa"/>
          </w:tblCellMar>
        </w:tblPrEx>
        <w:trPr>
          <w:gridBefore w:val="1"/>
          <w:wBefore w:w="28" w:type="pct"/>
          <w:trHeight w:val="300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10</w:t>
            </w:r>
          </w:p>
        </w:tc>
        <w:tc>
          <w:tcPr>
            <w:tcW w:w="6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茶水间桌椅</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常规</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1、背架：16*16*1.2mm方管，优质的A3钢材。</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2、人造板材: 曲木板材采用厚度为12MM，板材能承受102KG冲击测试1次, 破坏性冲击测试136KG冲击1次，达美国BIFMA5.1测试标准；均符合QB/T2280行业标准,经防潮、防腐、防虫化学处理。</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3、螺丝：经过冷热加硬、电脑烤漆处理。螺齿喷防退漆，长久使用螺丝不会松退，不会发出响声。　</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4、侧架：40*20*2.0mm方管，A3钢电镀+橡木，表面作电镀处理；简洁、美观。</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5、泡棉：35#高密度发泡成型棉；具有透气性强，回弹性好，不易变型,不老化，依人体坐姿特别设计．符合人体工学，无气味耐水洗及对人体无害等优势。</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6、皮革：采用厚度为1.0mm以上半PU西皮，通过拉力、弹力、耐挠、脱色、耐摩擦测试。</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7、稳固的结构设计，符合家具的使用安全标准。</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套</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w:t>
            </w:r>
          </w:p>
        </w:tc>
      </w:tr>
      <w:tr>
        <w:tblPrEx>
          <w:shd w:val="clear" w:color="auto" w:fill="auto"/>
          <w:tblCellMar>
            <w:top w:w="0" w:type="dxa"/>
            <w:left w:w="0" w:type="dxa"/>
            <w:bottom w:w="0" w:type="dxa"/>
            <w:right w:w="0" w:type="dxa"/>
          </w:tblCellMar>
        </w:tblPrEx>
        <w:trPr>
          <w:gridBefore w:val="1"/>
          <w:wBefore w:w="28" w:type="pct"/>
          <w:trHeight w:val="98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11</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茶水间柜</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800*400*800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面板、层板、底板25MM，余16MM，上柜内二层板，下柜内一层板，门板采用45度暗式斜拉手工艺，标配“Lusterful”品牌锁具，“DTC”缓冲门铰，底配专利可外部调节支撑脚。</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个</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w:t>
            </w:r>
          </w:p>
        </w:tc>
      </w:tr>
      <w:tr>
        <w:tblPrEx>
          <w:shd w:val="clear" w:color="auto" w:fill="auto"/>
          <w:tblCellMar>
            <w:top w:w="0" w:type="dxa"/>
            <w:left w:w="0" w:type="dxa"/>
            <w:bottom w:w="0" w:type="dxa"/>
            <w:right w:w="0" w:type="dxa"/>
          </w:tblCellMar>
        </w:tblPrEx>
        <w:trPr>
          <w:gridBefore w:val="1"/>
          <w:wBefore w:w="28" w:type="pct"/>
          <w:trHeight w:val="300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12</w:t>
            </w:r>
          </w:p>
        </w:tc>
        <w:tc>
          <w:tcPr>
            <w:tcW w:w="6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会议室椅</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常规</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1、钢材：φ29*1.8mm圆管，优质的A3钢材，表面电镀处理，时尚、高雅、明快、简洁。</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2、人造板材: 曲木板材采用厚度为15MM，板材能承受102KG冲击测试1次, 破坏性冲击测试136KG冲击1次，达美国BIFMA5.1测试标准；均符合QB/T2280行业标准,经防潮、防腐、防虫化学处理。</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3、螺丝：经过冷热加硬、电脑烤漆处理。螺齿喷防退漆，长久使用螺丝不会松退，不会发出响声。　</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4、扶手：钢电镀+皮扶面，简洁、美观。</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5、泡棉：高密度发泡成型棉；具有透气性强，回弹性好，不易变型,不老化，依人体坐姿特别设计．符合人体工学，无气味耐水洗及对人体无害等优势。</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6、皮革：采用厚度为1.0mm半PU西皮，通过拉力、弹力、耐挠、脱色、耐摩擦测试。</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7、稳固的结构设计，符合家具的使用安全标准。</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把</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56</w:t>
            </w:r>
          </w:p>
        </w:tc>
      </w:tr>
      <w:tr>
        <w:tblPrEx>
          <w:shd w:val="clear" w:color="auto" w:fill="auto"/>
          <w:tblCellMar>
            <w:top w:w="0" w:type="dxa"/>
            <w:left w:w="0" w:type="dxa"/>
            <w:bottom w:w="0" w:type="dxa"/>
            <w:right w:w="0" w:type="dxa"/>
          </w:tblCellMar>
        </w:tblPrEx>
        <w:trPr>
          <w:gridBefore w:val="1"/>
          <w:wBefore w:w="28" w:type="pct"/>
          <w:trHeight w:val="1775"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13</w:t>
            </w:r>
          </w:p>
        </w:tc>
        <w:tc>
          <w:tcPr>
            <w:tcW w:w="6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会议室椅</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常规</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1、背架：16*16*1.2mm方管，优质的A3钢材。</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2、人造板材: 曲木板材采用厚度为12MM，板材能承受102KG冲击测试1次, 破坏性冲击测试136KG冲击1次，达美国BIFMA5.1测试标准；均符合QB/T2280行业标准,经防潮、防腐、防虫化学处理。</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3、螺丝：经过冷热加硬、电脑烤漆处理。螺齿喷防退漆，长久使用螺丝不会松退，不会发出响声。　</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4、侧架：40*20*2.0mm方管，A3钢电镀+橡木，表面作电镀处理；简洁、美观。</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5、泡棉：35#高密度发泡成型棉；具有透气性强，回弹性好，不易变型,不老化，依人体坐姿特别设计．符合人体工学，无气味耐水洗及对人体无害等优势。</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6、皮革：采用厚度为1.0mm以上半PU西皮，通过拉力、弹力、耐挠、脱色、耐摩擦测试。</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7、稳固的结构设计，符合家具的使用安全标准。</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把</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10</w:t>
            </w:r>
          </w:p>
        </w:tc>
      </w:tr>
      <w:tr>
        <w:tblPrEx>
          <w:shd w:val="clear" w:color="auto" w:fill="auto"/>
          <w:tblCellMar>
            <w:top w:w="0" w:type="dxa"/>
            <w:left w:w="0" w:type="dxa"/>
            <w:bottom w:w="0" w:type="dxa"/>
            <w:right w:w="0" w:type="dxa"/>
          </w:tblCellMar>
        </w:tblPrEx>
        <w:trPr>
          <w:gridBefore w:val="1"/>
          <w:wBefore w:w="28" w:type="pct"/>
          <w:trHeight w:val="300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14</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会议室桌</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10000*2400*750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1、贴面：德国夏特（SCHATTDECOR）饰面，配合进口“虎克”金钻钢板压贴，具有纹理清晰、实木感强、色牢度高、防水防污耐磨等特点；</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2、基材：E1级高密度环保实木颗粒板（MFC）；木材经防虫、防潮、防腐、二次烘干蒸发处理，含水率≤7%；甲醛含量≤9mg/100g（1mg/L）；密度≧760kg/m³；静曲张度≧51.2Mpa；物理力学性能符合GB/T 3324-2008标准；</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3、封边：PVC胶边，优质热熔胶；</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4、五金配件：优质三合一扣件；多功能线盒</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张</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w:t>
            </w:r>
          </w:p>
        </w:tc>
      </w:tr>
      <w:tr>
        <w:tblPrEx>
          <w:shd w:val="clear" w:color="auto" w:fill="auto"/>
          <w:tblCellMar>
            <w:top w:w="0" w:type="dxa"/>
            <w:left w:w="0" w:type="dxa"/>
            <w:bottom w:w="0" w:type="dxa"/>
            <w:right w:w="0" w:type="dxa"/>
          </w:tblCellMar>
        </w:tblPrEx>
        <w:trPr>
          <w:gridBefore w:val="1"/>
          <w:wBefore w:w="28" w:type="pct"/>
          <w:trHeight w:val="240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15</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会议室桌</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3000*1300*750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1、贴面：德国夏特（SCHATTDECOR）饰面，配合进口“虎克”金钻钢板压贴，具有纹理清晰、实木感强、色牢度高、防水防污耐磨等特点；</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2、基材：E1级高密度环保实木颗粒板（MFC）；木材经防虫、防潮、防腐、二次烘干蒸发处理，含水率≤7%；甲醛含量≤9mg/100g（1mg/L）；密度≧760kg/m³；静曲张度≧51.2Mpa；物理力学性能符合GB/T 3324-2008标准；</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3、封边：PVC胶边，优质热熔胶；</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4、五金配件：优质三合一扣件；多功能线盒</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themeColor="text1"/>
                <w:sz w:val="22"/>
                <w:szCs w:val="22"/>
                <w:highlight w:val="none"/>
                <w:u w:val="none"/>
                <w:lang w:val="en-US" w:eastAsia="zh-CN"/>
                <w14:textFill>
                  <w14:solidFill>
                    <w14:schemeClr w14:val="tx1"/>
                  </w14:solidFill>
                </w14:textFill>
              </w:rPr>
            </w:pPr>
            <w:r>
              <w:rPr>
                <w:rFonts w:hint="eastAsia" w:ascii="宋体" w:hAnsi="宋体" w:eastAsia="宋体" w:cs="宋体"/>
                <w:i w:val="0"/>
                <w:color w:val="000000" w:themeColor="text1"/>
                <w:sz w:val="22"/>
                <w:szCs w:val="22"/>
                <w:highlight w:val="none"/>
                <w:u w:val="none"/>
                <w:lang w:val="en-US" w:eastAsia="zh-CN"/>
                <w14:textFill>
                  <w14:solidFill>
                    <w14:schemeClr w14:val="tx1"/>
                  </w14:solidFill>
                </w14:textFill>
              </w:rPr>
              <w:t>张</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w:t>
            </w:r>
          </w:p>
        </w:tc>
      </w:tr>
      <w:tr>
        <w:tblPrEx>
          <w:shd w:val="clear" w:color="auto" w:fill="auto"/>
          <w:tblCellMar>
            <w:top w:w="0" w:type="dxa"/>
            <w:left w:w="0" w:type="dxa"/>
            <w:bottom w:w="0" w:type="dxa"/>
            <w:right w:w="0" w:type="dxa"/>
          </w:tblCellMar>
        </w:tblPrEx>
        <w:trPr>
          <w:gridBefore w:val="1"/>
          <w:wBefore w:w="28" w:type="pct"/>
          <w:trHeight w:val="480" w:hRule="atLeast"/>
        </w:trPr>
        <w:tc>
          <w:tcPr>
            <w:tcW w:w="4088" w:type="pct"/>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二层</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二层</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themeColor="text1"/>
                <w:sz w:val="22"/>
                <w:szCs w:val="22"/>
                <w:highlight w:val="none"/>
                <w:u w:val="none"/>
                <w14:textFill>
                  <w14:solidFill>
                    <w14:schemeClr w14:val="tx1"/>
                  </w14:solidFill>
                </w14:textFill>
              </w:rPr>
            </w:pPr>
          </w:p>
        </w:tc>
        <w:tc>
          <w:tcPr>
            <w:tcW w:w="300" w:type="pct"/>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themeColor="text1"/>
                <w:sz w:val="22"/>
                <w:szCs w:val="22"/>
                <w:highlight w:val="none"/>
                <w:u w:val="none"/>
                <w14:textFill>
                  <w14:solidFill>
                    <w14:schemeClr w14:val="tx1"/>
                  </w14:solidFill>
                </w14:textFill>
              </w:rPr>
            </w:pPr>
          </w:p>
        </w:tc>
      </w:tr>
      <w:tr>
        <w:tblPrEx>
          <w:shd w:val="clear" w:color="auto" w:fill="auto"/>
          <w:tblCellMar>
            <w:top w:w="0" w:type="dxa"/>
            <w:left w:w="0" w:type="dxa"/>
            <w:bottom w:w="0" w:type="dxa"/>
            <w:right w:w="0" w:type="dxa"/>
          </w:tblCellMar>
        </w:tblPrEx>
        <w:trPr>
          <w:gridBefore w:val="1"/>
          <w:wBefore w:w="28" w:type="pct"/>
          <w:trHeight w:val="240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16</w:t>
            </w:r>
          </w:p>
        </w:tc>
        <w:tc>
          <w:tcPr>
            <w:tcW w:w="6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单人沙发</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760*760*680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1、皮革：采用厚度为1.0mm半PU西皮，通过拉力、弹力、耐挠、脱色、耐摩擦测试。</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2、海绵：高密度高回弹原生切割海绵，坐感舒适，软硬适中，久坐不变形；</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3、内框架：采用优质实木刨方，干湿度控制在16°以下，结实牢靠，不易生虫；</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4、配件：采用优质工业管型材，成型后表面经过除锈除静电处理后表面喷粉处理，结实耐用，不易生锈。</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个</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w:t>
            </w:r>
          </w:p>
        </w:tc>
      </w:tr>
      <w:tr>
        <w:tblPrEx>
          <w:shd w:val="clear" w:color="auto" w:fill="auto"/>
          <w:tblCellMar>
            <w:top w:w="0" w:type="dxa"/>
            <w:left w:w="0" w:type="dxa"/>
            <w:bottom w:w="0" w:type="dxa"/>
            <w:right w:w="0" w:type="dxa"/>
          </w:tblCellMar>
        </w:tblPrEx>
        <w:trPr>
          <w:gridBefore w:val="1"/>
          <w:wBefore w:w="28" w:type="pct"/>
          <w:trHeight w:val="168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17</w:t>
            </w:r>
          </w:p>
        </w:tc>
        <w:tc>
          <w:tcPr>
            <w:tcW w:w="6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茶几</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450*380*600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黑色钢化玻璃</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管材：25mm*25mm,管壁厚度1.5mm,经过焊接、打磨、抛光等工艺。表面采用行业领先的“静电”树脂固化工艺，涂层厚度≥25μm.附着力强，抗氧化能力强。哑光处理、质感好。</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张</w:t>
            </w:r>
          </w:p>
        </w:tc>
        <w:tc>
          <w:tcPr>
            <w:tcW w:w="300"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w:t>
            </w:r>
          </w:p>
        </w:tc>
      </w:tr>
      <w:tr>
        <w:tblPrEx>
          <w:shd w:val="clear" w:color="auto" w:fill="auto"/>
          <w:tblCellMar>
            <w:top w:w="0" w:type="dxa"/>
            <w:left w:w="0" w:type="dxa"/>
            <w:bottom w:w="0" w:type="dxa"/>
            <w:right w:w="0" w:type="dxa"/>
          </w:tblCellMar>
        </w:tblPrEx>
        <w:trPr>
          <w:gridBefore w:val="1"/>
          <w:wBefore w:w="28" w:type="pct"/>
          <w:trHeight w:val="120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18</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茶水柜</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800*400*800</w:t>
            </w:r>
          </w:p>
        </w:tc>
        <w:tc>
          <w:tcPr>
            <w:tcW w:w="2710" w:type="pct"/>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面板、层板、底板25MM，余16MM，上柜内二层板，下柜内一层板，门板采用45度暗式斜拉手工艺，标配“Lusterful”品牌锁具，“DTC”缓冲门铰，底配专利可外部调节支撑脚。</w:t>
            </w: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 xml:space="preserve">   个</w:t>
            </w:r>
          </w:p>
        </w:tc>
        <w:tc>
          <w:tcPr>
            <w:tcW w:w="300" w:type="pct"/>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w:t>
            </w:r>
          </w:p>
        </w:tc>
      </w:tr>
      <w:tr>
        <w:tblPrEx>
          <w:shd w:val="clear" w:color="auto" w:fill="auto"/>
          <w:tblCellMar>
            <w:top w:w="0" w:type="dxa"/>
            <w:left w:w="0" w:type="dxa"/>
            <w:bottom w:w="0" w:type="dxa"/>
            <w:right w:w="0" w:type="dxa"/>
          </w:tblCellMar>
        </w:tblPrEx>
        <w:trPr>
          <w:gridBefore w:val="1"/>
          <w:wBefore w:w="28" w:type="pct"/>
          <w:trHeight w:val="1160" w:hRule="atLeast"/>
        </w:trPr>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themeColor="text1"/>
                <w:sz w:val="22"/>
                <w:szCs w:val="22"/>
                <w:highlight w:val="none"/>
                <w:u w:val="none"/>
                <w:lang w:val="en-US"/>
                <w14:textFill>
                  <w14:solidFill>
                    <w14:schemeClr w14:val="tx1"/>
                  </w14:solidFill>
                </w14:textFill>
              </w:rPr>
            </w:pPr>
            <w:r>
              <w:rPr>
                <w:rFonts w:hint="eastAsia" w:ascii="宋体" w:hAnsi="宋体" w:cs="宋体"/>
                <w:i w:val="0"/>
                <w:color w:val="000000" w:themeColor="text1"/>
                <w:kern w:val="0"/>
                <w:sz w:val="22"/>
                <w:szCs w:val="22"/>
                <w:highlight w:val="none"/>
                <w:u w:val="none"/>
                <w:lang w:val="en-US" w:eastAsia="zh-CN" w:bidi="ar"/>
                <w14:textFill>
                  <w14:solidFill>
                    <w14:schemeClr w14:val="tx1"/>
                  </w14:solidFill>
                </w14:textFill>
              </w:rPr>
              <w:t>19</w:t>
            </w:r>
          </w:p>
        </w:tc>
        <w:tc>
          <w:tcPr>
            <w:tcW w:w="6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直饮水</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符合实际装修尺寸</w:t>
            </w:r>
          </w:p>
        </w:tc>
        <w:tc>
          <w:tcPr>
            <w:tcW w:w="2710"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themeColor="text1"/>
                <w:sz w:val="22"/>
                <w:szCs w:val="22"/>
                <w:highlight w:val="none"/>
                <w:u w:val="none"/>
                <w14:textFill>
                  <w14:solidFill>
                    <w14:schemeClr w14:val="tx1"/>
                  </w14:solidFill>
                </w14:textFill>
              </w:rPr>
            </w:pPr>
          </w:p>
        </w:tc>
        <w:tc>
          <w:tcPr>
            <w:tcW w:w="3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themeColor="text1"/>
                <w:sz w:val="22"/>
                <w:szCs w:val="22"/>
                <w:highlight w:val="none"/>
                <w:u w:val="none"/>
                <w14:textFill>
                  <w14:solidFill>
                    <w14:schemeClr w14:val="tx1"/>
                  </w14:solidFill>
                </w14:textFill>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highlight w:val="none"/>
                <w:u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2</w:t>
            </w:r>
          </w:p>
        </w:tc>
      </w:tr>
    </w:tbl>
    <w:p>
      <w:pPr>
        <w:pStyle w:val="2"/>
        <w:rPr>
          <w:rFonts w:hint="default"/>
          <w:color w:val="000000" w:themeColor="text1"/>
          <w:highlight w:val="none"/>
          <w:lang w:val="en-US" w:eastAsia="zh-CN"/>
          <w14:textFill>
            <w14:solidFill>
              <w14:schemeClr w14:val="tx1"/>
            </w14:solidFill>
          </w14:textFill>
        </w:rPr>
      </w:pPr>
    </w:p>
    <w:p>
      <w:pPr>
        <w:pStyle w:val="4"/>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3.11 350M对讲调度系统</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指挥调度功能是数字集群系统的一个重要综合业务，调度软件可以分为有线调度、可视化调度等，用以实现系统调度员参与整套系统的语音调度、可视化扁平化指挥等。</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本系统可实现：指挥大厅领导发言时，通过调度站，可对接指挥大厅内会议发言系统将领导发言的内容传输至在外执勤人员的对讲机上；</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室外执勤人员可通过调度站，对接指挥大厅扩声系统，可将执勤人员的说话内容通过音箱进行放大，使在大厅内的人员都可听见。</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详细设备参数详见智能会议系统。</w:t>
      </w:r>
    </w:p>
    <w:p>
      <w:pPr>
        <w:keepNext/>
        <w:keepLines/>
        <w:spacing w:before="260" w:after="260" w:line="360" w:lineRule="auto"/>
        <w:outlineLvl w:val="2"/>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3.12操作间工程</w:t>
      </w:r>
    </w:p>
    <w:p>
      <w:pPr>
        <w:keepNext/>
        <w:spacing w:line="360" w:lineRule="auto"/>
        <w:jc w:val="left"/>
        <w:outlineLvl w:val="3"/>
        <w:rPr>
          <w:rFonts w:ascii="宋体" w:hAnsi="宋体" w:cs="宋体"/>
          <w:b/>
          <w:color w:val="000000" w:themeColor="text1"/>
          <w:position w:val="-40"/>
          <w:szCs w:val="21"/>
          <w:highlight w:val="none"/>
          <w14:textFill>
            <w14:solidFill>
              <w14:schemeClr w14:val="tx1"/>
            </w14:solidFill>
          </w14:textFill>
        </w:rPr>
      </w:pPr>
      <w:r>
        <w:rPr>
          <w:rFonts w:hint="eastAsia" w:ascii="宋体" w:hAnsi="宋体" w:cs="宋体"/>
          <w:b/>
          <w:color w:val="000000" w:themeColor="text1"/>
          <w:position w:val="-40"/>
          <w:szCs w:val="21"/>
          <w:highlight w:val="none"/>
          <w14:textFill>
            <w14:solidFill>
              <w14:schemeClr w14:val="tx1"/>
            </w14:solidFill>
          </w14:textFill>
        </w:rPr>
        <w:t>3.12.1系统概述</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本设计包括以下内容：照明配电、防雷接地</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含指挥大厅及设备间</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、机房装修</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含指挥大厅及设备间</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及机房火灾报警，机房配电。</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1、照明配电：</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机房墙面电源插座采用五孔电源插座，机房弱电系统设备配电采用独立配电线路，重要设备UPS供电；机房内照度不小于400LUX，应急照明不小于40 LUX，并应设置紧急疏散指示灯。</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2、防雷接地：</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弱电机房接地接入大楼接地系统，零地电位差小于1V，接地电阻小于1Ω；防静电地板下做等电位带，为机房设备提供接地点；弱电机房供电配电柜内安装大容量防雷保护器，所有由室外接入的控制线、信号线、电源线等线路也需要安装防雷保护器。</w:t>
      </w:r>
    </w:p>
    <w:p>
      <w:pPr>
        <w:spacing w:line="360" w:lineRule="auto"/>
        <w:ind w:firstLine="210" w:firstLineChars="1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 机房装修：</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地板采用全钢防静架空地板，防静电地板安装高度为0.3米，进门处设踏步，地板与墙体交界处用踢脚板封边；吊顶采用微孔铝制天花板，吊顶距防静电地板净高不小于2.8M；墙面、地面及梁面上刷防霉、防潮漆，进行防尘处理。</w:t>
      </w:r>
    </w:p>
    <w:p>
      <w:pPr>
        <w:spacing w:line="360" w:lineRule="auto"/>
        <w:ind w:firstLine="210" w:firstLineChars="1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4、机房配电：</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在情指联勤中心机房设置市电配电柜：2000*600*1200(H*W*D)，给列间空调及LED大屏控制柜供电。</w:t>
      </w:r>
    </w:p>
    <w:p>
      <w:pPr>
        <w:spacing w:line="360" w:lineRule="auto"/>
        <w:ind w:firstLine="315" w:firstLineChars="15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在情指联勤中心机房设置80KW配电柜：2000*600*1200 (H*W*D)，给LED大屏供电。</w:t>
      </w:r>
    </w:p>
    <w:p>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在情指联勤中心机房设置配电列头柜(RPP)：给机房内机柜、应急照明灯、指挥中心照明箱供电。</w:t>
      </w:r>
    </w:p>
    <w:p>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机房火灾报警：</w:t>
      </w:r>
    </w:p>
    <w:p>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灭火系统具有自动、手动启动方式。</w:t>
      </w:r>
    </w:p>
    <w:p>
      <w:pPr>
        <w:spacing w:line="360" w:lineRule="auto"/>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自动控制：自动状态下，若防护区发生有烟雾（或温度上升），该防护区的感烟（或感温）火灾探测器动作并向火灾报警控制器送入一个单一火警信号，控制器即进入单一火警状态，同时驱动电动警铃发出单一火灾报警信号，此时不会发出启动灭火系统的控制信号。随着该防护区火灾的蔓延，温度持续上升（或烟雾增大），另一回路的感温（或感烟）火灾探测器动作，向控制器送入另一个单一火警信号，控制器立即确认发生火灾，同时发出复合火灾报警信号及联动信号，关闭联动设备（如精密空调、送排风装置和防火阀等）。经过预先设定的</w:t>
      </w:r>
      <w:r>
        <w:rPr>
          <w:rFonts w:ascii="宋体" w:hAnsi="宋体" w:cs="宋体"/>
          <w:color w:val="000000" w:themeColor="text1"/>
          <w:szCs w:val="21"/>
          <w:highlight w:val="none"/>
          <w14:textFill>
            <w14:solidFill>
              <w14:schemeClr w14:val="tx1"/>
            </w14:solidFill>
          </w14:textFill>
        </w:rPr>
        <w:t>30</w:t>
      </w:r>
      <w:r>
        <w:rPr>
          <w:rFonts w:hint="eastAsia" w:ascii="宋体" w:hAnsi="宋体" w:cs="宋体"/>
          <w:color w:val="000000" w:themeColor="text1"/>
          <w:szCs w:val="21"/>
          <w:highlight w:val="none"/>
          <w14:textFill>
            <w14:solidFill>
              <w14:schemeClr w14:val="tx1"/>
            </w14:solidFill>
          </w14:textFill>
        </w:rPr>
        <w:t>秒时间的延时后，控制器输出信号启动灭火系统，灭火剂释放到该防护区实施灭火。控制器接收到压力信号器的反馈信号后显亮放气指示灯，避免人员误入。</w:t>
      </w:r>
      <w:r>
        <w:rPr>
          <w:rFonts w:ascii="宋体" w:hAnsi="宋体" w:cs="宋体"/>
          <w:color w:val="000000" w:themeColor="text1"/>
          <w:szCs w:val="21"/>
          <w:highlight w:val="none"/>
          <w14:textFill>
            <w14:solidFill>
              <w14:schemeClr w14:val="tx1"/>
            </w14:solidFill>
          </w14:textFill>
        </w:rPr>
        <w:t xml:space="preserve">   </w:t>
      </w:r>
    </w:p>
    <w:p>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手动控制：在防护区有人工作或值班时，控制方式选择</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手动</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位置将灭火控制器上的控制方式选择键置于“手动”位置。当保护区的火</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灾探测器发出火灾信号时，报警控制盘会自动发出声光报警，同时发出联动指令，关闭联动设备（如精密空调、送排风装置和防火阀</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等），但不会输出启动灭火系统信号，此时需要由值班人员确认火灾后，按下灭火控制器上的手动按钮，或保护区外的紧急启动按钮，即可按自动程序打开启动瓶组及灭火剂储瓶，释放灭火剂，实施灭火。</w:t>
      </w:r>
    </w:p>
    <w:p>
      <w:pPr>
        <w:spacing w:line="360" w:lineRule="auto"/>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自动或手动状态下，在值班人员确认火警后，按下报警控制器面板上的或现场的</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紧急启动</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按钮可马上启动灭火系统。在喷放控制信号输出前，按下报警控制器面板上或现场的</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紧急停止</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按钮，系统将不会输出喷放信号。</w:t>
      </w:r>
    </w:p>
    <w:p>
      <w:pPr>
        <w:spacing w:line="360" w:lineRule="auto"/>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气瓶组钢瓶采用无缝钢瓶。</w:t>
      </w:r>
    </w:p>
    <w:p>
      <w:pPr>
        <w:spacing w:line="360" w:lineRule="auto"/>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火灾探测器吸顶安装，消防警铃、放气指示灯和声光报警器分别装于防护区门内、外的正上方。</w:t>
      </w:r>
    </w:p>
    <w:p>
      <w:pPr>
        <w:spacing w:line="360" w:lineRule="auto"/>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系统的安装施工应符合《火灾自动报警系统施工验收规范》及《气体灭火系统施工及验收规范》的要求。</w:t>
      </w:r>
    </w:p>
    <w:p>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6、列间空调：</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为确保操作间运行的安全可靠性，及操作间内的设备需连续运行，工作时间长的特点，本次设计风冷精密空调，精密空调采用</w:t>
      </w:r>
      <w:r>
        <w:rPr>
          <w:rFonts w:ascii="宋体" w:hAnsi="宋体" w:cs="宋体"/>
          <w:color w:val="000000" w:themeColor="text1"/>
          <w:szCs w:val="21"/>
          <w:highlight w:val="none"/>
          <w14:textFill>
            <w14:solidFill>
              <w14:schemeClr w14:val="tx1"/>
            </w14:solidFill>
          </w14:textFill>
        </w:rPr>
        <w:t>N+1</w:t>
      </w:r>
      <w:r>
        <w:rPr>
          <w:rFonts w:hint="eastAsia" w:ascii="宋体" w:hAnsi="宋体" w:cs="宋体"/>
          <w:color w:val="000000" w:themeColor="text1"/>
          <w:szCs w:val="21"/>
          <w:highlight w:val="none"/>
          <w14:textFill>
            <w14:solidFill>
              <w14:schemeClr w14:val="tx1"/>
            </w14:solidFill>
          </w14:textFill>
        </w:rPr>
        <w:t>的冗余配置，确保室内温、湿度等环境要求。操作间内采用35K</w:t>
      </w:r>
      <w:r>
        <w:rPr>
          <w:rFonts w:ascii="宋体" w:hAnsi="宋体" w:cs="宋体"/>
          <w:color w:val="000000" w:themeColor="text1"/>
          <w:szCs w:val="21"/>
          <w:highlight w:val="none"/>
          <w14:textFill>
            <w14:solidFill>
              <w14:schemeClr w14:val="tx1"/>
            </w14:solidFill>
          </w14:textFill>
        </w:rPr>
        <w:t>W</w:t>
      </w:r>
      <w:r>
        <w:rPr>
          <w:rFonts w:hint="eastAsia" w:ascii="宋体" w:hAnsi="宋体" w:cs="宋体"/>
          <w:color w:val="000000" w:themeColor="text1"/>
          <w:szCs w:val="21"/>
          <w:highlight w:val="none"/>
          <w14:textFill>
            <w14:solidFill>
              <w14:schemeClr w14:val="tx1"/>
            </w14:solidFill>
          </w14:textFill>
        </w:rPr>
        <w:t>的风冷列间空调，按照每个机柜平均</w:t>
      </w:r>
      <w:r>
        <w:rPr>
          <w:rFonts w:ascii="宋体" w:hAnsi="宋体" w:cs="宋体"/>
          <w:color w:val="000000" w:themeColor="text1"/>
          <w:szCs w:val="21"/>
          <w:highlight w:val="none"/>
          <w14:textFill>
            <w14:solidFill>
              <w14:schemeClr w14:val="tx1"/>
            </w14:solidFill>
          </w14:textFill>
        </w:rPr>
        <w:t>3.5KW</w:t>
      </w:r>
      <w:r>
        <w:rPr>
          <w:rFonts w:hint="eastAsia" w:ascii="宋体" w:hAnsi="宋体" w:cs="宋体"/>
          <w:color w:val="000000" w:themeColor="text1"/>
          <w:szCs w:val="21"/>
          <w:highlight w:val="none"/>
          <w14:textFill>
            <w14:solidFill>
              <w14:schemeClr w14:val="tx1"/>
            </w14:solidFill>
          </w14:textFill>
        </w:rPr>
        <w:t>的热负荷进行空调的配置，整个操作间共设计了3台列间空调。</w:t>
      </w:r>
    </w:p>
    <w:p>
      <w:pPr>
        <w:keepNext/>
        <w:spacing w:line="360" w:lineRule="auto"/>
        <w:jc w:val="left"/>
        <w:outlineLvl w:val="3"/>
        <w:rPr>
          <w:rFonts w:ascii="宋体"/>
          <w:b/>
          <w:color w:val="000000" w:themeColor="text1"/>
          <w:position w:val="-40"/>
          <w:szCs w:val="21"/>
          <w:highlight w:val="none"/>
          <w14:textFill>
            <w14:solidFill>
              <w14:schemeClr w14:val="tx1"/>
            </w14:solidFill>
          </w14:textFill>
        </w:rPr>
      </w:pPr>
      <w:r>
        <w:rPr>
          <w:rFonts w:hint="eastAsia" w:ascii="宋体"/>
          <w:b/>
          <w:color w:val="000000" w:themeColor="text1"/>
          <w:position w:val="-40"/>
          <w:szCs w:val="21"/>
          <w:highlight w:val="none"/>
          <w14:textFill>
            <w14:solidFill>
              <w14:schemeClr w14:val="tx1"/>
            </w14:solidFill>
          </w14:textFill>
        </w:rPr>
        <w:t>3.12.2 UPS电源系统</w:t>
      </w:r>
    </w:p>
    <w:p>
      <w:pPr>
        <w:ind w:firstLine="420"/>
        <w:rPr>
          <w:color w:val="000000" w:themeColor="text1"/>
          <w:szCs w:val="21"/>
          <w:highlight w:val="none"/>
          <w14:textFill>
            <w14:solidFill>
              <w14:schemeClr w14:val="tx1"/>
            </w14:solidFill>
          </w14:textFill>
        </w:rPr>
      </w:pP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不间断电源供电：在地下一层</w:t>
      </w:r>
      <w:r>
        <w:rPr>
          <w:rFonts w:ascii="宋体" w:hAnsi="宋体"/>
          <w:color w:val="000000" w:themeColor="text1"/>
          <w:szCs w:val="21"/>
          <w:highlight w:val="none"/>
          <w14:textFill>
            <w14:solidFill>
              <w14:schemeClr w14:val="tx1"/>
            </w14:solidFill>
          </w14:textFill>
        </w:rPr>
        <w:t>UPS</w:t>
      </w:r>
      <w:r>
        <w:rPr>
          <w:rFonts w:hint="eastAsia" w:ascii="宋体" w:hAnsi="宋体"/>
          <w:color w:val="000000" w:themeColor="text1"/>
          <w:szCs w:val="21"/>
          <w:highlight w:val="none"/>
          <w14:textFill>
            <w14:solidFill>
              <w14:schemeClr w14:val="tx1"/>
            </w14:solidFill>
          </w14:textFill>
        </w:rPr>
        <w:t>室设置</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台16</w:t>
      </w:r>
      <w:r>
        <w:rPr>
          <w:rFonts w:ascii="宋体" w:hAnsi="宋体"/>
          <w:color w:val="000000" w:themeColor="text1"/>
          <w:szCs w:val="21"/>
          <w:highlight w:val="none"/>
          <w14:textFill>
            <w14:solidFill>
              <w14:schemeClr w14:val="tx1"/>
            </w14:solidFill>
          </w14:textFill>
        </w:rPr>
        <w:t>0KVA UPS</w:t>
      </w:r>
      <w:r>
        <w:rPr>
          <w:rFonts w:hint="eastAsia" w:ascii="宋体" w:hAnsi="宋体"/>
          <w:color w:val="000000" w:themeColor="text1"/>
          <w:szCs w:val="21"/>
          <w:highlight w:val="none"/>
          <w14:textFill>
            <w14:solidFill>
              <w14:schemeClr w14:val="tx1"/>
            </w14:solidFill>
          </w14:textFill>
        </w:rPr>
        <w:t>为情指联勤中心机房供电。</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在情指中心机房设置精密列头柜，采用</w:t>
      </w:r>
      <w:r>
        <w:rPr>
          <w:rFonts w:ascii="宋体" w:hAnsi="宋体"/>
          <w:color w:val="000000" w:themeColor="text1"/>
          <w:szCs w:val="21"/>
          <w:highlight w:val="none"/>
          <w14:textFill>
            <w14:solidFill>
              <w14:schemeClr w14:val="tx1"/>
            </w14:solidFill>
          </w14:textFill>
        </w:rPr>
        <w:t>UPS</w:t>
      </w:r>
      <w:r>
        <w:rPr>
          <w:rFonts w:hint="eastAsia" w:ascii="宋体" w:hAnsi="宋体"/>
          <w:color w:val="000000" w:themeColor="text1"/>
          <w:szCs w:val="21"/>
          <w:highlight w:val="none"/>
          <w14:textFill>
            <w14:solidFill>
              <w14:schemeClr w14:val="tx1"/>
            </w14:solidFill>
          </w14:textFill>
        </w:rPr>
        <w:t>电源输入，由精密列头柜各输出二路</w:t>
      </w:r>
      <w:r>
        <w:rPr>
          <w:rFonts w:ascii="宋体" w:hAnsi="宋体"/>
          <w:color w:val="000000" w:themeColor="text1"/>
          <w:szCs w:val="21"/>
          <w:highlight w:val="none"/>
          <w14:textFill>
            <w14:solidFill>
              <w14:schemeClr w14:val="tx1"/>
            </w14:solidFill>
          </w14:textFill>
        </w:rPr>
        <w:t>UPS</w:t>
      </w:r>
      <w:r>
        <w:rPr>
          <w:rFonts w:hint="eastAsia" w:ascii="宋体" w:hAnsi="宋体"/>
          <w:color w:val="000000" w:themeColor="text1"/>
          <w:szCs w:val="21"/>
          <w:highlight w:val="none"/>
          <w14:textFill>
            <w14:solidFill>
              <w14:schemeClr w14:val="tx1"/>
            </w14:solidFill>
          </w14:textFill>
        </w:rPr>
        <w:t>电源接入机柜</w:t>
      </w:r>
      <w:r>
        <w:rPr>
          <w:rFonts w:ascii="宋体" w:hAnsi="宋体"/>
          <w:color w:val="000000" w:themeColor="text1"/>
          <w:szCs w:val="21"/>
          <w:highlight w:val="none"/>
          <w14:textFill>
            <w14:solidFill>
              <w14:schemeClr w14:val="tx1"/>
            </w14:solidFill>
          </w14:textFill>
        </w:rPr>
        <w:t>PDU</w:t>
      </w:r>
      <w:r>
        <w:rPr>
          <w:rFonts w:hint="eastAsia" w:ascii="宋体" w:hAnsi="宋体"/>
          <w:color w:val="000000" w:themeColor="text1"/>
          <w:szCs w:val="21"/>
          <w:highlight w:val="none"/>
          <w14:textFill>
            <w14:solidFill>
              <w14:schemeClr w14:val="tx1"/>
            </w14:solidFill>
          </w14:textFill>
        </w:rPr>
        <w:t>。并给机房内机柜、应急照明灯、指挥中心照明箱供电。</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电池采用12V高功率免维护铅酸蓄电池，电池设计寿命不低于10年（25°），电池重量200AH不低于72Kg。U</w:t>
      </w:r>
      <w:r>
        <w:rPr>
          <w:rFonts w:ascii="宋体" w:hAnsi="宋体"/>
          <w:color w:val="000000" w:themeColor="text1"/>
          <w:szCs w:val="21"/>
          <w:highlight w:val="none"/>
          <w14:textFill>
            <w14:solidFill>
              <w14:schemeClr w14:val="tx1"/>
            </w14:solidFill>
          </w14:textFill>
        </w:rPr>
        <w:t>PS</w:t>
      </w:r>
      <w:r>
        <w:rPr>
          <w:rFonts w:hint="eastAsia" w:ascii="宋体" w:hAnsi="宋体"/>
          <w:color w:val="000000" w:themeColor="text1"/>
          <w:szCs w:val="21"/>
          <w:highlight w:val="none"/>
          <w14:textFill>
            <w14:solidFill>
              <w14:schemeClr w14:val="tx1"/>
            </w14:solidFill>
          </w14:textFill>
        </w:rPr>
        <w:t>负载在200</w:t>
      </w:r>
      <w:r>
        <w:rPr>
          <w:rFonts w:ascii="宋体" w:hAnsi="宋体"/>
          <w:color w:val="000000" w:themeColor="text1"/>
          <w:szCs w:val="21"/>
          <w:highlight w:val="none"/>
          <w14:textFill>
            <w14:solidFill>
              <w14:schemeClr w14:val="tx1"/>
            </w14:solidFill>
          </w14:textFill>
        </w:rPr>
        <w:t>KVA</w:t>
      </w:r>
      <w:r>
        <w:rPr>
          <w:rFonts w:hint="eastAsia" w:ascii="宋体" w:hAnsi="宋体"/>
          <w:color w:val="000000" w:themeColor="text1"/>
          <w:szCs w:val="21"/>
          <w:highlight w:val="none"/>
          <w14:textFill>
            <w14:solidFill>
              <w14:schemeClr w14:val="tx1"/>
            </w14:solidFill>
          </w14:textFill>
        </w:rPr>
        <w:t>延时不低于120分钟，电池截止电压1.70V的恒定放电功率不低于345W/单格。并备有散热良好的电池箱或电池架。</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1.当环境温度在-10～+45℃条件下时，蓄电池性能指标应满足正常使用要求。</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2.蓄电池必须采用全密封防泄漏结构，外壳无异常变形、裂纹及污迹，上盖及端子无损伤，正常工作时无酸雾溢出。</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3.蓄电池极性正确，正负极性及端子应有明显标志。极板厚度应与使用寿命相适应。</w:t>
      </w:r>
    </w:p>
    <w:p>
      <w:pPr>
        <w:pStyle w:val="2"/>
        <w:rPr>
          <w:color w:val="000000" w:themeColor="text1"/>
          <w:highlight w:val="none"/>
          <w14:textFill>
            <w14:solidFill>
              <w14:schemeClr w14:val="tx1"/>
            </w14:solidFill>
          </w14:textFill>
        </w:rPr>
      </w:pPr>
    </w:p>
    <w:p>
      <w:pPr>
        <w:keepNext/>
        <w:spacing w:line="360" w:lineRule="auto"/>
        <w:jc w:val="left"/>
        <w:outlineLvl w:val="3"/>
        <w:rPr>
          <w:rFonts w:ascii="宋体" w:hAnsi="宋体" w:cs="宋体"/>
          <w:b/>
          <w:color w:val="000000" w:themeColor="text1"/>
          <w:position w:val="-40"/>
          <w:szCs w:val="21"/>
          <w:highlight w:val="none"/>
          <w14:textFill>
            <w14:solidFill>
              <w14:schemeClr w14:val="tx1"/>
            </w14:solidFill>
          </w14:textFill>
        </w:rPr>
      </w:pPr>
      <w:r>
        <w:rPr>
          <w:rFonts w:hint="eastAsia" w:ascii="宋体" w:hAnsi="宋体" w:cs="宋体"/>
          <w:b/>
          <w:color w:val="000000" w:themeColor="text1"/>
          <w:position w:val="-40"/>
          <w:szCs w:val="21"/>
          <w:highlight w:val="none"/>
          <w14:textFill>
            <w14:solidFill>
              <w14:schemeClr w14:val="tx1"/>
            </w14:solidFill>
          </w14:textFill>
        </w:rPr>
        <w:t>3.12.3 技术规格、参数及要求</w:t>
      </w:r>
    </w:p>
    <w:tbl>
      <w:tblPr>
        <w:tblStyle w:val="13"/>
        <w:tblW w:w="10089" w:type="dxa"/>
        <w:tblInd w:w="93" w:type="dxa"/>
        <w:tblLayout w:type="autofit"/>
        <w:tblCellMar>
          <w:top w:w="0" w:type="dxa"/>
          <w:left w:w="108" w:type="dxa"/>
          <w:bottom w:w="0" w:type="dxa"/>
          <w:right w:w="108" w:type="dxa"/>
        </w:tblCellMar>
      </w:tblPr>
      <w:tblGrid>
        <w:gridCol w:w="434"/>
        <w:gridCol w:w="226"/>
        <w:gridCol w:w="331"/>
        <w:gridCol w:w="2835"/>
        <w:gridCol w:w="4462"/>
        <w:gridCol w:w="118"/>
        <w:gridCol w:w="809"/>
        <w:gridCol w:w="874"/>
      </w:tblGrid>
      <w:tr>
        <w:tblPrEx>
          <w:tblCellMar>
            <w:top w:w="0" w:type="dxa"/>
            <w:left w:w="108" w:type="dxa"/>
            <w:bottom w:w="0" w:type="dxa"/>
            <w:right w:w="108" w:type="dxa"/>
          </w:tblCellMar>
        </w:tblPrEx>
        <w:tc>
          <w:tcPr>
            <w:tcW w:w="99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序号</w:t>
            </w:r>
          </w:p>
        </w:tc>
        <w:tc>
          <w:tcPr>
            <w:tcW w:w="283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设备名称</w:t>
            </w:r>
          </w:p>
        </w:tc>
        <w:tc>
          <w:tcPr>
            <w:tcW w:w="458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规格参数</w:t>
            </w:r>
          </w:p>
        </w:tc>
        <w:tc>
          <w:tcPr>
            <w:tcW w:w="8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单位</w:t>
            </w:r>
          </w:p>
        </w:tc>
        <w:tc>
          <w:tcPr>
            <w:tcW w:w="87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c>
          <w:tcPr>
            <w:tcW w:w="382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一、机房装修工程</w:t>
            </w:r>
          </w:p>
        </w:tc>
        <w:tc>
          <w:tcPr>
            <w:tcW w:w="538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600*600微孔铝合金天花扣板</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600*600</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80</w:t>
            </w:r>
          </w:p>
        </w:tc>
      </w:tr>
      <w:tr>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吊顶主龙骨</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126</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吊顶次龙骨</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128</w:t>
            </w:r>
          </w:p>
        </w:tc>
      </w:tr>
      <w:tr>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机房天花防尘处理</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二遍</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机房地面防尘处理（含指挥大厅）</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二遍</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730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地面保温棉</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抗静电地板600*600</w:t>
            </w:r>
          </w:p>
        </w:tc>
        <w:tc>
          <w:tcPr>
            <w:tcW w:w="4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600*600*35,系统电阻：8.03*107Ω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平面度：&lt;0.3mm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承载强度：集中荷载≥5560N</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平均荷载：≥33000 N/ m2</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电阻抗：≤109Ω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 防火等级：难燃B级</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 阻燃等级：F30</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抗静电地板600*600</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（指挥大厅）</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600*600*35,系统电阻：8.03*107Ω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平面度：&lt;0.3mm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承载强度：集中荷载≥5560N</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平均荷载：≥33000 N/ m2</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电阻抗：≤109Ω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 防火等级：难燃B级</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 xml:space="preserve"> 阻燃等级：F30</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650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机房踢脚台制作</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防静电贴面</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项</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地板钢支架、紧固件及敷料</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650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机房墙面防尘处理</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二遍</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180</w:t>
            </w:r>
          </w:p>
        </w:tc>
      </w:tr>
      <w:tr>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墙面不锈钢地脚线</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120mm宽</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45</w:t>
            </w:r>
          </w:p>
        </w:tc>
      </w:tr>
      <w:tr>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乳胶漆墙面处理</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180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ind w:firstLine="210" w:firstLineChars="100"/>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w:t>
            </w:r>
          </w:p>
        </w:tc>
        <w:tc>
          <w:tcPr>
            <w:tcW w:w="283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墙柱面饰面（彩钢板板）</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平米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95</w:t>
            </w:r>
          </w:p>
        </w:tc>
      </w:tr>
      <w:tr>
        <w:tc>
          <w:tcPr>
            <w:tcW w:w="99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二、照明</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single" w:color="auto" w:sz="4" w:space="0"/>
              <w:bottom w:val="single" w:color="auto" w:sz="4" w:space="0"/>
              <w:right w:val="single" w:color="auto" w:sz="4" w:space="0"/>
            </w:tcBorders>
            <w:noWrap/>
          </w:tcPr>
          <w:p>
            <w:pPr>
              <w:widowControl/>
              <w:jc w:val="center"/>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LED平板灯</w:t>
            </w:r>
          </w:p>
        </w:tc>
        <w:tc>
          <w:tcPr>
            <w:tcW w:w="4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600*600</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14</w:t>
            </w:r>
          </w:p>
        </w:tc>
      </w:tr>
      <w:tr>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灯具控制开关</w:t>
            </w:r>
          </w:p>
        </w:tc>
        <w:tc>
          <w:tcPr>
            <w:tcW w:w="4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2联</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　</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市电配电柜</w:t>
            </w:r>
          </w:p>
        </w:tc>
        <w:tc>
          <w:tcPr>
            <w:tcW w:w="4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kern w:val="0"/>
                <w:szCs w:val="21"/>
                <w:highlight w:val="none"/>
                <w14:textFill>
                  <w14:solidFill>
                    <w14:schemeClr w14:val="tx1"/>
                  </w14:solidFill>
                </w14:textFill>
              </w:rPr>
              <w:t>2000</w:t>
            </w:r>
            <w:r>
              <w:rPr>
                <w:rFonts w:hint="eastAsia" w:ascii="宋体" w:hAnsi="宋体" w:cs="宋体"/>
                <w:color w:val="000000" w:themeColor="text1"/>
                <w:kern w:val="0"/>
                <w:szCs w:val="21"/>
                <w:highlight w:val="none"/>
                <w14:textFill>
                  <w14:solidFill>
                    <w14:schemeClr w14:val="tx1"/>
                  </w14:solidFill>
                </w14:textFill>
              </w:rPr>
              <w:t>*600*</w:t>
            </w:r>
            <w:r>
              <w:rPr>
                <w:rFonts w:ascii="宋体" w:hAnsi="宋体" w:cs="宋体"/>
                <w:color w:val="000000" w:themeColor="text1"/>
                <w:kern w:val="0"/>
                <w:szCs w:val="21"/>
                <w:highlight w:val="none"/>
                <w14:textFill>
                  <w14:solidFill>
                    <w14:schemeClr w14:val="tx1"/>
                  </w14:solidFill>
                </w14:textFill>
              </w:rPr>
              <w:t>12</w:t>
            </w:r>
            <w:r>
              <w:rPr>
                <w:rFonts w:hint="eastAsia" w:ascii="宋体" w:hAnsi="宋体" w:cs="宋体"/>
                <w:color w:val="000000" w:themeColor="text1"/>
                <w:kern w:val="0"/>
                <w:szCs w:val="21"/>
                <w:highlight w:val="none"/>
                <w14:textFill>
                  <w14:solidFill>
                    <w14:schemeClr w14:val="tx1"/>
                  </w14:solidFill>
                </w14:textFill>
              </w:rPr>
              <w:t>00(H*W*D)，采用网络机柜</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套</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二三眼插座 墙插</w:t>
            </w:r>
          </w:p>
        </w:tc>
        <w:tc>
          <w:tcPr>
            <w:tcW w:w="4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10A/220V</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ind w:firstLine="420" w:firstLineChars="200"/>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83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电源线</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批</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1</w:t>
            </w:r>
          </w:p>
        </w:tc>
      </w:tr>
      <w:tr>
        <w:tc>
          <w:tcPr>
            <w:tcW w:w="99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三、防雷接地</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single" w:color="auto" w:sz="4" w:space="0"/>
              <w:bottom w:val="single" w:color="auto" w:sz="4" w:space="0"/>
              <w:right w:val="single" w:color="auto" w:sz="4" w:space="0"/>
            </w:tcBorders>
            <w:noWrap/>
          </w:tcPr>
          <w:p>
            <w:pPr>
              <w:widowControl/>
              <w:jc w:val="center"/>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电源防雷器</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二级</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等电位接地箱</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绝缘子固定桩</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ind w:firstLine="315" w:firstLineChars="15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等电位接地铜排</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40×4mm</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绝缘子固定桩（指挥大厅）</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53</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ind w:firstLine="315" w:firstLineChars="15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等电位接地铜排（指挥大厅）</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40×4mm</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165</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ind w:firstLine="420" w:firstLineChars="200"/>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2835"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接地线</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批　</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1</w:t>
            </w:r>
          </w:p>
        </w:tc>
      </w:tr>
      <w:tr>
        <w:tblPrEx>
          <w:tblCellMar>
            <w:top w:w="0" w:type="dxa"/>
            <w:left w:w="108" w:type="dxa"/>
            <w:bottom w:w="0" w:type="dxa"/>
            <w:right w:w="108" w:type="dxa"/>
          </w:tblCellMar>
        </w:tblPrEx>
        <w:tc>
          <w:tcPr>
            <w:tcW w:w="99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四、火灾报警</w:t>
            </w: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45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single" w:color="auto" w:sz="4" w:space="0"/>
              <w:left w:val="single" w:color="auto" w:sz="4" w:space="0"/>
              <w:bottom w:val="single" w:color="auto" w:sz="4" w:space="0"/>
              <w:right w:val="single" w:color="auto" w:sz="4" w:space="0"/>
            </w:tcBorders>
            <w:noWrap/>
          </w:tcPr>
          <w:p>
            <w:pPr>
              <w:widowControl/>
              <w:jc w:val="center"/>
              <w:rPr>
                <w:rFonts w:ascii="宋体" w:hAnsi="宋体" w:cs="宋体"/>
                <w:color w:val="000000" w:themeColor="text1"/>
                <w:kern w:val="0"/>
                <w:szCs w:val="21"/>
                <w:highlight w:val="none"/>
                <w14:textFill>
                  <w14:solidFill>
                    <w14:schemeClr w14:val="tx1"/>
                  </w14:solidFill>
                </w14:textFill>
              </w:rPr>
            </w:pPr>
          </w:p>
        </w:tc>
      </w:tr>
      <w:tr>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283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感烟探测器</w:t>
            </w:r>
          </w:p>
        </w:tc>
        <w:tc>
          <w:tcPr>
            <w:tcW w:w="458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（1）工作电压：总线 24V （ 2）监视电流≤0.8mA （ 3）报警电流≤1.8mA （ 4）报警确认灯：红色，巡检时闪烁，报警时常亮</w:t>
            </w:r>
          </w:p>
        </w:tc>
        <w:tc>
          <w:tcPr>
            <w:tcW w:w="8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感温探测器</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（1）工作电压：总线 24V （ 2）监视电流≤0.8mA （ 3）报警电流≤1.8mA （ 4）报警确认灯：红色，巡检时闪烁，报警时常亮</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放气指示灯</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工作电压：信号总线电压：24V 允许范围：16V～28V，电源总线电压：DC24V 允许范围：DC20V～DC28V</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紧急启停按钮</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工作电压：总线24V，允许范围：16V～28V，监视电流：≤0.8mA，报警电流≤10mA，编码方式：电子编码方式，</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声光报警器</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工作电压：信号总线电压：24V 允许范围：16V～28V，电源总线电压：DC24V 允许范围：DC20V～DC28V，</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气体灭火控制盘</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连接不低于200个总线设备和控制不低于2个气体灭火区；启动时间可以在1～30秒内任意设置；具有在线或离线编程、注释功能；供电主电：AC220V ± 10%（50Hz）；</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ind w:firstLine="420" w:firstLineChars="200"/>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r>
              <w:rPr>
                <w:rFonts w:hint="eastAsia" w:ascii="宋体" w:hAnsi="宋体" w:cs="宋体"/>
                <w:b/>
                <w:bCs/>
                <w:color w:val="000000" w:themeColor="text1"/>
                <w:kern w:val="0"/>
                <w:szCs w:val="21"/>
                <w:highlight w:val="none"/>
                <w14:textFill>
                  <w14:solidFill>
                    <w14:schemeClr w14:val="tx1"/>
                  </w14:solidFill>
                </w14:textFill>
              </w:rPr>
              <w:t xml:space="preserve"> </w:t>
            </w:r>
          </w:p>
        </w:tc>
        <w:tc>
          <w:tcPr>
            <w:tcW w:w="283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七氟丙烷灭火装置</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包括钢瓶、启动装置、柜体、压力开关、喷射短管、单喷嘴。（含灭火剂），压力2.5MPa，150升钢瓶</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　</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321" w:hRule="atLeast"/>
        </w:trPr>
        <w:tc>
          <w:tcPr>
            <w:tcW w:w="991"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五、UPS配置清单</w:t>
            </w:r>
          </w:p>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2835" w:type="dxa"/>
            <w:vMerge w:val="restar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160KVA UPS主机</w:t>
            </w:r>
          </w:p>
        </w:tc>
        <w:tc>
          <w:tcPr>
            <w:tcW w:w="4580" w:type="dxa"/>
            <w:gridSpan w:val="2"/>
            <w:vMerge w:val="restar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 输入</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输入电压  380VAC ±25%</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输入频率  40-70HZ</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输入谐波电流总含量≤3%</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输入功率因数&gt;≥0.99</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 输出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整流器输出指标：</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电压精度：±1％</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具有电池均充功能，能够自动控制均充和浮充转换，具备充电温度补偿功能和电池定期自动测试功能。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 逆变器输出：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输出电压：  380VAC，稳态精度：±1％</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输出频率  50Hz±0.1%(内同步), 输出频率应不发生突变</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输出频率范围：在输入频率为50Hz±10%时，输出频率应满足50Hz±0.5，±1，±1.5，±2Hz可调</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输出波形为连续的正弦波，在带100%不均衡负载时，波形失真度 ： </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线性负载   ≤2％</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非线性负载 ≤5％</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 输出电流峰值系数（UPS所允许的最大非正弦波峰值电流与输出电流有效值之比）≥3：1</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 输出功率因数：≥0.9。</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 整机效率满载时不低于94%。</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 UPS包含有全功率整流器和逆变器的在线式双变换UPS，市电正常及电池状态时所有负载均由逆变器供电，逆变器应采用效率更高的三电平拓扑结构。</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 UPS内置并机控制功能，并机组网快速灵活。</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 三相负载不平衡度  100%时，三相输出电压不平衡度满足：</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＜±1％（平衡负载）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＜±2％（100％不平衡负载）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 输出电压相位偏差</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在100%不平衡整流性负载时，三相输出电压相位差≤1°。</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 电池智能开关</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160K UPS设备需配置1个电池总开关，并与UPS主机实现实时通讯和智能联控，具有防止误操作和电池深度放电的功能；还要求UPS主机能检测电池断路器状态并可以远程监控。在开关意外脱扣的情况下，UPS主机能够提供报警。</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 并机能力</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具有多台N+1直接并联工作及负载均分性能，各机负载电流不平衡度 ≤2%额定输出电流，可并联数量≥4，多机并联或扩容时无需增加并机柜等设备。</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14. 噪音（距离设备1米处）：72dB（A）</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15. 设备应能提供全中文监控及操作界面和全中文远程监控管理界面，应提供中文显示的大屏幕显示屏，能够显示输入输出电池电压、电流和相关运行状态以及故障告警信息等， UPS显示屏应能在线更换。</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 系统应具备通信接口</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具备RS232、RS485(或RS422)或SNMP接口协议，且应具有良好的电气隔离(信号端子对地承受直流电压500V、1分钟不击穿或闪烁)；</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17. 外观工艺、检查：机柜表面喷涂均匀、无破损；信号灯、开关、测量显示装置布局合理。"</w:t>
            </w:r>
          </w:p>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restar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874" w:type="dxa"/>
            <w:vMerge w:val="restart"/>
            <w:noWrap/>
          </w:tcPr>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p>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restart"/>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蓄电池</w:t>
            </w:r>
          </w:p>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restart"/>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1.规格型号：200AH/12V，不接受胶体电池，开放式电池架含直流开关柜/电池连接线；每组电池36~40节；                                                                                                                                                             </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3.投标供应商应提供详细电池计算书及投标产品恒功率放电表。</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 蓄电池的设计寿命应大于或等于10年（使用环境温度25℃），供货前需提供原厂证明文件。</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 自放电损失：完全充电的蓄电池，在25±5℃的环境中，静置28天后，其容量保持率应在97％以上。</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6.蓄电池的循环使用寿命：80％放电深度时≥300次。</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7.蓄电池在正常工作中应无酸雾逸出。</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8.蓄电池在充电过程中遇有明火，内部不应引爆。</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9.蓄电池外壳须采用ABS工程塑料制造，应能承受50kPa的正压或负压而不破裂，压力释放后壳体无残余变形。</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10.蓄电池的安全阀应具有滤酸和自动开启、自动关闭的功能，其开阀压力应为10kPa～49kPa，闭阀压力应为1kPa～10kPa。</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11.蓄电池在使用中应无渗液、漏液、爬液和膨胀现象。极性正确，正负极性及端子有永久性标志；蓄电池应采用下沉式铜芯端子，相邻电池采用铜排连接，要求含连接螺栓在内的连接部件高度须低于电池端盖。</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12.蓄电池槽、盖应采用阻燃材料，阻燃性能不低于UL94-VO。</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13.全封闭免维护功能吸附式玻璃纤维棉技术，气体复合效率达99%，全封闭免维护性能。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排气阀应具备阻燃及单向排气特性。</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14.蓄电池端电压的均衡性：由若干个单体组成的蓄电池组，其单体间的开路电压最高与最低差值不大于45mV；进入浮充状态24小时后，各蓄电池间的浮充电压最高值与最低值之差不大于72mV；  </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15.蓄电池应能适应在线状态检测装置的接入。</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16.每节电池须在本体醒目之处印刷有基本信息，至少应包括：产品型号、规格、25℃下20小时率及10小时率标称容量，建议的浮充电压，端子（螺栓）连接扭矩等基本信息。</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17.蓄电池和UPS主机应为同一品牌。</w:t>
            </w:r>
          </w:p>
        </w:tc>
        <w:tc>
          <w:tcPr>
            <w:tcW w:w="809" w:type="dxa"/>
            <w:vMerge w:val="restart"/>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块</w:t>
            </w:r>
          </w:p>
          <w:p>
            <w:pPr>
              <w:widowControl/>
              <w:jc w:val="center"/>
              <w:rPr>
                <w:rFonts w:ascii="宋体" w:hAnsi="宋体" w:cs="宋体"/>
                <w:color w:val="000000" w:themeColor="text1"/>
                <w:kern w:val="0"/>
                <w:szCs w:val="21"/>
                <w:highlight w:val="none"/>
                <w14:textFill>
                  <w14:solidFill>
                    <w14:schemeClr w14:val="tx1"/>
                  </w14:solidFill>
                </w14:textFill>
              </w:rPr>
            </w:pPr>
          </w:p>
        </w:tc>
        <w:tc>
          <w:tcPr>
            <w:tcW w:w="874" w:type="dxa"/>
            <w:vMerge w:val="restart"/>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160</w:t>
            </w:r>
          </w:p>
          <w:p>
            <w:pPr>
              <w:widowControl/>
              <w:jc w:val="center"/>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21" w:hRule="atLeast"/>
        </w:trPr>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0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8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c>
          <w:tcPr>
            <w:tcW w:w="991"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电池架</w:t>
            </w:r>
          </w:p>
        </w:tc>
        <w:tc>
          <w:tcPr>
            <w:tcW w:w="4580" w:type="dxa"/>
            <w:gridSpan w:val="2"/>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订制</w:t>
            </w:r>
          </w:p>
        </w:tc>
        <w:tc>
          <w:tcPr>
            <w:tcW w:w="809" w:type="dxa"/>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监控卡</w:t>
            </w:r>
          </w:p>
        </w:tc>
        <w:tc>
          <w:tcPr>
            <w:tcW w:w="4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RS485卡，配有485监控通讯口，进行协议对接</w:t>
            </w:r>
          </w:p>
        </w:tc>
        <w:tc>
          <w:tcPr>
            <w:tcW w:w="8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UPS电池开关柜</w:t>
            </w:r>
          </w:p>
        </w:tc>
        <w:tc>
          <w:tcPr>
            <w:tcW w:w="4580" w:type="dxa"/>
            <w:gridSpan w:val="2"/>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600*600*2000，1.配电柜采用优质覆铝锌板材，板材厚度不小于2.0毫米，且组装牢固；柜体前后开门。</w:t>
            </w:r>
          </w:p>
          <w:p>
            <w:pPr>
              <w:widowControl/>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2.配电柜的进出线方式符合现行国家标准、技术标准和规范。 </w:t>
            </w:r>
          </w:p>
          <w:p>
            <w:pPr>
              <w:widowControl/>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3.柜体的前后门及其外表面均应进行环氧粉末喷涂处理，喷涂厚 度不小于 50 微米，涂层应美观、牢固、耐腐蚀、抗冲击、不反光。所有柜内的零件、螺钉、电缆攀附的支架等均应镀锌，并达到耐盐 雾腐蚀的标准。</w:t>
            </w:r>
          </w:p>
          <w:p>
            <w:pPr>
              <w:widowControl/>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4.母线采用TMY 型优质电解紫铜排。母线的固定应采用阻燃的 DMC 绝缘排夹，具有耐电弧，动热稳定性高，机械强度高、耐高温和防潮的功能。  </w:t>
            </w:r>
          </w:p>
          <w:p>
            <w:pPr>
              <w:widowControl/>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5.总开关选为630A隔离开关、分支开关选为直流225A开关。</w:t>
            </w:r>
          </w:p>
        </w:tc>
        <w:tc>
          <w:tcPr>
            <w:tcW w:w="8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电池电缆 </w:t>
            </w:r>
          </w:p>
        </w:tc>
        <w:tc>
          <w:tcPr>
            <w:tcW w:w="4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RVVZ150mm2 </w:t>
            </w:r>
          </w:p>
        </w:tc>
        <w:tc>
          <w:tcPr>
            <w:tcW w:w="8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米 </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输入输出电缆 </w:t>
            </w:r>
          </w:p>
        </w:tc>
        <w:tc>
          <w:tcPr>
            <w:tcW w:w="4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ZRYJV4*150mm2+1*70mm2 </w:t>
            </w:r>
          </w:p>
        </w:tc>
        <w:tc>
          <w:tcPr>
            <w:tcW w:w="8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米 </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70</w:t>
            </w:r>
          </w:p>
        </w:tc>
      </w:tr>
      <w:tr>
        <w:tblPrEx>
          <w:tblCellMar>
            <w:top w:w="0" w:type="dxa"/>
            <w:left w:w="108" w:type="dxa"/>
            <w:bottom w:w="0" w:type="dxa"/>
            <w:right w:w="108" w:type="dxa"/>
          </w:tblCellMar>
        </w:tblPrEx>
        <w:tc>
          <w:tcPr>
            <w:tcW w:w="991" w:type="dxa"/>
            <w:gridSpan w:val="3"/>
            <w:tcBorders>
              <w:top w:val="nil"/>
              <w:left w:val="single" w:color="auto" w:sz="4" w:space="0"/>
              <w:bottom w:val="single" w:color="000000"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83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散力架</w:t>
            </w:r>
          </w:p>
        </w:tc>
        <w:tc>
          <w:tcPr>
            <w:tcW w:w="45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18#槽钢</w:t>
            </w:r>
          </w:p>
        </w:tc>
        <w:tc>
          <w:tcPr>
            <w:tcW w:w="8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项</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99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序号</w:t>
            </w:r>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设备名称</w:t>
            </w:r>
          </w:p>
        </w:tc>
        <w:tc>
          <w:tcPr>
            <w:tcW w:w="45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规格参数</w:t>
            </w:r>
          </w:p>
        </w:tc>
        <w:tc>
          <w:tcPr>
            <w:tcW w:w="8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数量</w:t>
            </w:r>
          </w:p>
        </w:tc>
      </w:tr>
      <w:tr>
        <w:trPr>
          <w:trHeight w:val="402" w:hRule="atLeast"/>
        </w:trPr>
        <w:tc>
          <w:tcPr>
            <w:tcW w:w="382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六、配电系统</w:t>
            </w:r>
          </w:p>
        </w:tc>
        <w:tc>
          <w:tcPr>
            <w:tcW w:w="538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rPr>
          <w:trHeight w:val="552" w:hRule="atLeast"/>
        </w:trPr>
        <w:tc>
          <w:tcPr>
            <w:tcW w:w="991"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精密配电列头柜</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C级防雷-T配电单元－触摸屏600mm*1200mm*2000mm-42U</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1.列头柜柜体与机柜外观一致，采用优质覆铝锌板材，板材厚度不小于2.0毫米，且组装牢固；柜体的前、后门为网孔状通风散热，安装锁具。</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2.列头柜正面采用彩色触摸屏，测量主路电源电压、电流、频率、有功功率、功率因数、电压谐波、电流谐波、开关状态、负载百分比、电量，测量支路电流、负载百分比、开关状态。 </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582" w:hRule="atLeast"/>
        </w:trPr>
        <w:tc>
          <w:tcPr>
            <w:tcW w:w="991"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配电线缆</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ZR-YJV4*150+1*70mm2</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420</w:t>
            </w:r>
          </w:p>
        </w:tc>
      </w:tr>
      <w:tr>
        <w:trPr>
          <w:trHeight w:val="582" w:hRule="atLeast"/>
        </w:trPr>
        <w:tc>
          <w:tcPr>
            <w:tcW w:w="991"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配电线缆</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ZR-YJV4*185+1*95mm2</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200</w:t>
            </w:r>
          </w:p>
        </w:tc>
      </w:tr>
      <w:tr>
        <w:tblPrEx>
          <w:tblCellMar>
            <w:top w:w="0" w:type="dxa"/>
            <w:left w:w="108" w:type="dxa"/>
            <w:bottom w:w="0" w:type="dxa"/>
            <w:right w:w="108" w:type="dxa"/>
          </w:tblCellMar>
        </w:tblPrEx>
        <w:trPr>
          <w:trHeight w:val="582" w:hRule="atLeast"/>
        </w:trPr>
        <w:tc>
          <w:tcPr>
            <w:tcW w:w="991"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配电线缆</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ZR-RVV3*10mm2</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图纸量</w:t>
            </w:r>
          </w:p>
        </w:tc>
      </w:tr>
      <w:tr>
        <w:tblPrEx>
          <w:tblCellMar>
            <w:top w:w="0" w:type="dxa"/>
            <w:left w:w="108" w:type="dxa"/>
            <w:bottom w:w="0" w:type="dxa"/>
            <w:right w:w="108" w:type="dxa"/>
          </w:tblCellMar>
        </w:tblPrEx>
        <w:trPr>
          <w:trHeight w:val="582" w:hRule="atLeast"/>
        </w:trPr>
        <w:tc>
          <w:tcPr>
            <w:tcW w:w="991"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配电线缆</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ZR-YJV4*70+1*35mm2</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图纸量</w:t>
            </w:r>
          </w:p>
        </w:tc>
      </w:tr>
      <w:tr>
        <w:tblPrEx>
          <w:tblCellMar>
            <w:top w:w="0" w:type="dxa"/>
            <w:left w:w="108" w:type="dxa"/>
            <w:bottom w:w="0" w:type="dxa"/>
            <w:right w:w="108" w:type="dxa"/>
          </w:tblCellMar>
        </w:tblPrEx>
        <w:trPr>
          <w:trHeight w:val="582" w:hRule="atLeast"/>
        </w:trPr>
        <w:tc>
          <w:tcPr>
            <w:tcW w:w="991"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配电线缆</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ZR-YJV5*16mm2</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图纸量</w:t>
            </w:r>
          </w:p>
        </w:tc>
      </w:tr>
      <w:tr>
        <w:trPr>
          <w:trHeight w:val="582" w:hRule="atLeast"/>
        </w:trPr>
        <w:tc>
          <w:tcPr>
            <w:tcW w:w="991"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UPS线路</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ZR-YJV4*50+1*25mm2</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米</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图纸量</w:t>
            </w:r>
          </w:p>
        </w:tc>
      </w:tr>
      <w:tr>
        <w:tblPrEx>
          <w:tblCellMar>
            <w:top w:w="0" w:type="dxa"/>
            <w:left w:w="108" w:type="dxa"/>
            <w:bottom w:w="0" w:type="dxa"/>
            <w:right w:w="108" w:type="dxa"/>
          </w:tblCellMar>
        </w:tblPrEx>
        <w:trPr>
          <w:trHeight w:val="402" w:hRule="atLeast"/>
        </w:trPr>
        <w:tc>
          <w:tcPr>
            <w:tcW w:w="382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七、温控系统</w:t>
            </w:r>
          </w:p>
        </w:tc>
        <w:tc>
          <w:tcPr>
            <w:tcW w:w="538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974" w:hRule="atLeast"/>
        </w:trPr>
        <w:tc>
          <w:tcPr>
            <w:tcW w:w="4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33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机架式精密空调</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 制冷量≥35KW，水平送风，风量≥8000m3/h，风机数量≥2，尺寸600×1200×2000mm; 机组的制冷量是在温度送风24℃，冷通道相对湿度50%，冷凝温度45℃下测定的。</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 机房列间空调应能按要求自动调节室内温、湿度，具有制冷、加热、加湿、除湿等功能</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 温度调节范围：+18℃~+40℃；</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 温度调节精度：±1℃ ，温度变化率&lt;5℃/小时；</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 湿度调节范围：20%~80%RH；</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 湿度调节精度：±5%RH；</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rPr>
          <w:trHeight w:val="402" w:hRule="atLeast"/>
        </w:trPr>
        <w:tc>
          <w:tcPr>
            <w:tcW w:w="4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33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空调室外机基础</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blPrEx>
          <w:tblCellMar>
            <w:top w:w="0" w:type="dxa"/>
            <w:left w:w="108" w:type="dxa"/>
            <w:bottom w:w="0" w:type="dxa"/>
            <w:right w:w="108" w:type="dxa"/>
          </w:tblCellMar>
        </w:tblPrEx>
        <w:trPr>
          <w:trHeight w:val="402" w:hRule="atLeast"/>
        </w:trPr>
        <w:tc>
          <w:tcPr>
            <w:tcW w:w="4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33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精密空调监控卡</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块</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rPr>
          <w:trHeight w:val="402" w:hRule="atLeast"/>
        </w:trPr>
        <w:tc>
          <w:tcPr>
            <w:tcW w:w="382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八、机柜系统</w:t>
            </w:r>
          </w:p>
        </w:tc>
        <w:tc>
          <w:tcPr>
            <w:tcW w:w="538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693" w:hRule="atLeast"/>
        </w:trPr>
        <w:tc>
          <w:tcPr>
            <w:tcW w:w="4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33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服务器机柜</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 机柜前后门须采用具有良好透风性能网状结构，前门采用单开平板网孔门，后门采用双开平板门，为了便于安装、拆装。</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 服务器机柜尺寸规格（W×D×H）：600mm×1200mm×2000mm，42U；</w:t>
            </w:r>
          </w:p>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3.机柜静态承重≥1500KG；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4.产品前后门需采用网孔门设计，网孔为六边形设计,通孔率需达75％，利于机柜内设备通风散热，适应新型服务器高热密度的散热需求。</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w:t>
            </w:r>
          </w:p>
        </w:tc>
      </w:tr>
      <w:tr>
        <w:tblPrEx>
          <w:tblCellMar>
            <w:top w:w="0" w:type="dxa"/>
            <w:left w:w="108" w:type="dxa"/>
            <w:bottom w:w="0" w:type="dxa"/>
            <w:right w:w="108" w:type="dxa"/>
          </w:tblCellMar>
        </w:tblPrEx>
        <w:trPr>
          <w:trHeight w:val="682" w:hRule="atLeast"/>
        </w:trPr>
        <w:tc>
          <w:tcPr>
            <w:tcW w:w="4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33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PDU</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32A接线端子盒输入，输出端口为20*GB10+4*GB16，可选配IEC插座形式，带电源指示灯，黑色</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w:t>
            </w:r>
          </w:p>
        </w:tc>
      </w:tr>
      <w:tr>
        <w:tblPrEx>
          <w:tblCellMar>
            <w:top w:w="0" w:type="dxa"/>
            <w:left w:w="108" w:type="dxa"/>
            <w:bottom w:w="0" w:type="dxa"/>
            <w:right w:w="108" w:type="dxa"/>
          </w:tblCellMar>
        </w:tblPrEx>
        <w:trPr>
          <w:trHeight w:val="402" w:hRule="atLeast"/>
        </w:trPr>
        <w:tc>
          <w:tcPr>
            <w:tcW w:w="4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33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工业连接器</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w:t>
            </w:r>
          </w:p>
        </w:tc>
      </w:tr>
      <w:tr>
        <w:tblPrEx>
          <w:tblCellMar>
            <w:top w:w="0" w:type="dxa"/>
            <w:left w:w="108" w:type="dxa"/>
            <w:bottom w:w="0" w:type="dxa"/>
            <w:right w:w="108" w:type="dxa"/>
          </w:tblCellMar>
        </w:tblPrEx>
        <w:trPr>
          <w:trHeight w:val="402" w:hRule="atLeast"/>
        </w:trPr>
        <w:tc>
          <w:tcPr>
            <w:tcW w:w="4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33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机柜底座散力架</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13.2m*1.2m*0.3m</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4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339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综合柜</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1.机柜尺寸规格：600*1360*2050mm</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2.配置7寸液晶触摸屏</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3.具有告警管理和应急管理功能</w:t>
            </w:r>
          </w:p>
        </w:tc>
        <w:tc>
          <w:tcPr>
            <w:tcW w:w="92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CellMar>
            <w:top w:w="0" w:type="dxa"/>
            <w:left w:w="108" w:type="dxa"/>
            <w:bottom w:w="0" w:type="dxa"/>
            <w:right w:w="108" w:type="dxa"/>
          </w:tblCellMar>
        </w:tblPrEx>
        <w:trPr>
          <w:trHeight w:val="270" w:hRule="atLeast"/>
        </w:trPr>
        <w:tc>
          <w:tcPr>
            <w:tcW w:w="434" w:type="dxa"/>
            <w:tcBorders>
              <w:top w:val="nil"/>
              <w:left w:val="nil"/>
              <w:bottom w:val="nil"/>
              <w:right w:val="nil"/>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p>
        </w:tc>
        <w:tc>
          <w:tcPr>
            <w:tcW w:w="3392" w:type="dxa"/>
            <w:gridSpan w:val="3"/>
            <w:tcBorders>
              <w:top w:val="nil"/>
              <w:left w:val="nil"/>
              <w:bottom w:val="nil"/>
              <w:right w:val="nil"/>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4462" w:type="dxa"/>
            <w:tcBorders>
              <w:top w:val="nil"/>
              <w:left w:val="nil"/>
              <w:bottom w:val="nil"/>
              <w:right w:val="nil"/>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p>
        </w:tc>
        <w:tc>
          <w:tcPr>
            <w:tcW w:w="927" w:type="dxa"/>
            <w:gridSpan w:val="2"/>
            <w:tcBorders>
              <w:top w:val="nil"/>
              <w:left w:val="nil"/>
              <w:bottom w:val="nil"/>
              <w:right w:val="nil"/>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p>
        </w:tc>
        <w:tc>
          <w:tcPr>
            <w:tcW w:w="874" w:type="dxa"/>
            <w:tcBorders>
              <w:top w:val="nil"/>
              <w:left w:val="nil"/>
              <w:bottom w:val="nil"/>
              <w:right w:val="nil"/>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4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序号</w:t>
            </w:r>
          </w:p>
        </w:tc>
        <w:tc>
          <w:tcPr>
            <w:tcW w:w="3392"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设备名称</w:t>
            </w:r>
          </w:p>
        </w:tc>
        <w:tc>
          <w:tcPr>
            <w:tcW w:w="44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规格参数</w:t>
            </w:r>
          </w:p>
        </w:tc>
        <w:tc>
          <w:tcPr>
            <w:tcW w:w="92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单位</w:t>
            </w:r>
          </w:p>
        </w:tc>
        <w:tc>
          <w:tcPr>
            <w:tcW w:w="87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数量</w:t>
            </w:r>
          </w:p>
        </w:tc>
      </w:tr>
      <w:tr>
        <w:tblPrEx>
          <w:tblCellMar>
            <w:top w:w="0" w:type="dxa"/>
            <w:left w:w="108" w:type="dxa"/>
            <w:bottom w:w="0" w:type="dxa"/>
            <w:right w:w="108" w:type="dxa"/>
          </w:tblCellMar>
        </w:tblPrEx>
        <w:trPr>
          <w:trHeight w:val="402" w:hRule="atLeast"/>
        </w:trPr>
        <w:tc>
          <w:tcPr>
            <w:tcW w:w="382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九、机房安防</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82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1、门禁管制系统</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43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3392"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人脸识别一体机</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人脸+刷卡</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w:t>
            </w:r>
          </w:p>
        </w:tc>
      </w:tr>
      <w:tr>
        <w:trPr>
          <w:trHeight w:val="402" w:hRule="atLeast"/>
        </w:trPr>
        <w:tc>
          <w:tcPr>
            <w:tcW w:w="43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3392"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单门电磁锁</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带门磁开关状态触点，金属防盗门或带门夹玻璃门</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rPr>
          <w:trHeight w:val="402" w:hRule="atLeast"/>
        </w:trPr>
        <w:tc>
          <w:tcPr>
            <w:tcW w:w="43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3392"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双门电磁锁</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带门磁开关状态触点，金属防盗门或带门夹玻璃门</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w:t>
            </w:r>
          </w:p>
        </w:tc>
      </w:tr>
      <w:tr>
        <w:tblPrEx>
          <w:tblCellMar>
            <w:top w:w="0" w:type="dxa"/>
            <w:left w:w="108" w:type="dxa"/>
            <w:bottom w:w="0" w:type="dxa"/>
            <w:right w:w="108" w:type="dxa"/>
          </w:tblCellMar>
        </w:tblPrEx>
        <w:trPr>
          <w:trHeight w:val="402" w:hRule="atLeast"/>
        </w:trPr>
        <w:tc>
          <w:tcPr>
            <w:tcW w:w="43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3392"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出门按钮</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DOOR</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w:t>
            </w:r>
          </w:p>
        </w:tc>
      </w:tr>
      <w:tr>
        <w:trPr>
          <w:trHeight w:val="402" w:hRule="atLeast"/>
        </w:trPr>
        <w:tc>
          <w:tcPr>
            <w:tcW w:w="382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2、视频监控系统</w:t>
            </w:r>
          </w:p>
        </w:tc>
        <w:tc>
          <w:tcPr>
            <w:tcW w:w="44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92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6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316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硬盘录像机</w:t>
            </w:r>
          </w:p>
        </w:tc>
        <w:tc>
          <w:tcPr>
            <w:tcW w:w="44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≥24路</w:t>
            </w:r>
          </w:p>
        </w:tc>
        <w:tc>
          <w:tcPr>
            <w:tcW w:w="92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6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316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硬盘</w:t>
            </w:r>
          </w:p>
        </w:tc>
        <w:tc>
          <w:tcPr>
            <w:tcW w:w="44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4TB</w:t>
            </w:r>
          </w:p>
        </w:tc>
        <w:tc>
          <w:tcPr>
            <w:tcW w:w="92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r>
      <w:tr>
        <w:tblPrEx>
          <w:tblCellMar>
            <w:top w:w="0" w:type="dxa"/>
            <w:left w:w="108" w:type="dxa"/>
            <w:bottom w:w="0" w:type="dxa"/>
            <w:right w:w="108" w:type="dxa"/>
          </w:tblCellMar>
        </w:tblPrEx>
        <w:trPr>
          <w:trHeight w:val="1890" w:hRule="atLeast"/>
        </w:trPr>
        <w:tc>
          <w:tcPr>
            <w:tcW w:w="6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316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半球摄像机</w:t>
            </w:r>
          </w:p>
        </w:tc>
        <w:tc>
          <w:tcPr>
            <w:tcW w:w="44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带红外灯，日夜彩转黑</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200 万 1/2.7”CMOS ICR 日夜型半球型网络摄像机；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镜头 2.8mm, 水平视场角: 113.5°°(4mm、6mm、8mm、12mm 可选)；</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视频压缩标准 H.265 / H.264 / MJPEG；</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红外照射距离 10-30米；</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支持POE供电</w:t>
            </w:r>
          </w:p>
        </w:tc>
        <w:tc>
          <w:tcPr>
            <w:tcW w:w="92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w:t>
            </w:r>
          </w:p>
        </w:tc>
      </w:tr>
      <w:tr>
        <w:tblPrEx>
          <w:tblCellMar>
            <w:top w:w="0" w:type="dxa"/>
            <w:left w:w="108" w:type="dxa"/>
            <w:bottom w:w="0" w:type="dxa"/>
            <w:right w:w="108" w:type="dxa"/>
          </w:tblCellMar>
        </w:tblPrEx>
        <w:trPr>
          <w:trHeight w:val="402" w:hRule="atLeast"/>
        </w:trPr>
        <w:tc>
          <w:tcPr>
            <w:tcW w:w="660"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3166"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快球摄像机</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带红外灯，日夜彩转黑，1080P</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rPr>
          <w:trHeight w:val="402" w:hRule="atLeast"/>
        </w:trPr>
        <w:tc>
          <w:tcPr>
            <w:tcW w:w="660"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3166"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拾音器</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r>
      <w:tr>
        <w:tblPrEx>
          <w:tblCellMar>
            <w:top w:w="0" w:type="dxa"/>
            <w:left w:w="108" w:type="dxa"/>
            <w:bottom w:w="0" w:type="dxa"/>
            <w:right w:w="108" w:type="dxa"/>
          </w:tblCellMar>
        </w:tblPrEx>
        <w:trPr>
          <w:trHeight w:val="402" w:hRule="atLeast"/>
        </w:trPr>
        <w:tc>
          <w:tcPr>
            <w:tcW w:w="660"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3166"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电源箱</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AC220/DC12V/AC24V</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个</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382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3、监控中心基本配置</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660"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3166" w:type="dxa"/>
            <w:gridSpan w:val="2"/>
            <w:tcBorders>
              <w:top w:val="nil"/>
              <w:left w:val="nil"/>
              <w:bottom w:val="single" w:color="auto" w:sz="4" w:space="0"/>
              <w:right w:val="single" w:color="auto" w:sz="4" w:space="0"/>
            </w:tcBorders>
            <w:shd w:val="clear" w:color="auto" w:fill="auto"/>
            <w:noWrap/>
            <w:vAlign w:val="center"/>
          </w:tcPr>
          <w:p>
            <w:pPr>
              <w:widowControl/>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管理电脑</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i5-8400 8G 1T+128GSSD 2G独显</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CellMar>
            <w:top w:w="0" w:type="dxa"/>
            <w:left w:w="108" w:type="dxa"/>
            <w:bottom w:w="0" w:type="dxa"/>
            <w:right w:w="108" w:type="dxa"/>
          </w:tblCellMar>
        </w:tblPrEx>
        <w:trPr>
          <w:trHeight w:val="402" w:hRule="atLeast"/>
        </w:trPr>
        <w:tc>
          <w:tcPr>
            <w:tcW w:w="660"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3166"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48口交换机</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w:t>
            </w:r>
          </w:p>
        </w:tc>
        <w:tc>
          <w:tcPr>
            <w:tcW w:w="9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87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bl>
    <w:p>
      <w:pPr>
        <w:pStyle w:val="4"/>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3.1</w:t>
      </w:r>
      <w:r>
        <w:rPr>
          <w:rFonts w:ascii="宋体" w:hAnsi="宋体" w:cs="宋体"/>
          <w:color w:val="000000" w:themeColor="text1"/>
          <w:sz w:val="21"/>
          <w:szCs w:val="21"/>
          <w:highlight w:val="none"/>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接处警系统建设配套硬件</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w:t>
      </w:r>
      <w:r>
        <w:rPr>
          <w:rFonts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.1系统概述</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为了满足情指中心硬件到后接处警系统可以及时满足基本工作要求，在暂时利用情指中心现有数字程控调度机的情况下，提供基础的环境。</w:t>
      </w:r>
    </w:p>
    <w:p>
      <w:pPr>
        <w:pStyle w:val="5"/>
        <w:spacing w:line="360" w:lineRule="auto"/>
        <w:jc w:val="lef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w:t>
      </w:r>
      <w:r>
        <w:rPr>
          <w:rFonts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.2技术规格、参数及要求</w:t>
      </w:r>
    </w:p>
    <w:tbl>
      <w:tblPr>
        <w:tblStyle w:val="13"/>
        <w:tblW w:w="509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699"/>
        <w:gridCol w:w="6380"/>
        <w:gridCol w:w="708"/>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序号</w:t>
            </w:r>
          </w:p>
        </w:tc>
        <w:tc>
          <w:tcPr>
            <w:tcW w:w="84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设备名称</w:t>
            </w:r>
          </w:p>
        </w:tc>
        <w:tc>
          <w:tcPr>
            <w:tcW w:w="3180"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规格参数</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双机热备汇接单元</w:t>
            </w:r>
          </w:p>
        </w:tc>
        <w:tc>
          <w:tcPr>
            <w:tcW w:w="3180"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具备模拟线路，数字线路，同轴电缆倒换功能，电源双备。</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电话配线单元</w:t>
            </w:r>
          </w:p>
        </w:tc>
        <w:tc>
          <w:tcPr>
            <w:tcW w:w="3180"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200回线配线箱;128个保安单元、128个通路塞;内线测试塞绳和外线测试塞绳各1条,告警器1个,接线工具1把,断路塞10个。</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数字录音服务器</w:t>
            </w:r>
          </w:p>
        </w:tc>
        <w:tc>
          <w:tcPr>
            <w:tcW w:w="3180"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4U架机式工控机：FSC-1815全长CPU卡/Intel奔腾双核双线程 G2120 3.1Ghz主频 /8G 内存/2TB 硬盘*3/DVD刻录光驱/音箱/鼠标键盘</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数字录音卡</w:t>
            </w:r>
          </w:p>
        </w:tc>
        <w:tc>
          <w:tcPr>
            <w:tcW w:w="3180"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16端口高阻数字录音卡</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块</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头戴式耳麦</w:t>
            </w:r>
          </w:p>
        </w:tc>
        <w:tc>
          <w:tcPr>
            <w:tcW w:w="3180"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话盒+耳麦。用户可以通过拨号盘主管端口直接访问管理器，提高培训和解决问题的速度。具有闪光、静音和重拨按钮以及三种闪光设置 - 98、300 和 600ms，可满足特定呼叫中心的需求。可调式音量和音调/脉冲控制增强了用户的舒适感。</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防火墙</w:t>
            </w:r>
          </w:p>
        </w:tc>
        <w:tc>
          <w:tcPr>
            <w:tcW w:w="3180"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标准2U机架式设备，双电源，标配6个10/100/1000BASE-T接口，1个扩展插槽；并含2个高速USB2.0接口，可接移动存储进行日志存储；要求吞吐量≥5Gbps，最大并发连接数≥220万，每秒新建≥4万/秒,支持一体化安全策略配置，可以通过一条策略实现用户认证、IPS、AV、URL过滤、协议控制、流量控制、并发、新建限制、垃圾邮件过滤、审计等功能,简化用户管理。支持针对策略中的源、目的地址进行新建限制，可以针对单IP(或地址范围)进行新建控制。支持同一个地址对象中可以包含IP、IP段、IP range、排除地址等多种类型。必须支持基于 WEB地址URL的策略路由，可实现将不同类型的网站流量智能分配到不同的链路。必须支持基于文件类型的策略路由，可实现将预定义或者自定义的文件按照不同的分类进行智能选路。支持标准IPSec、GRE、PPTP 、L2TP、DMVPN等形态VPN 。</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音箱</w:t>
            </w:r>
          </w:p>
        </w:tc>
        <w:tc>
          <w:tcPr>
            <w:tcW w:w="3180"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功率大小：小功率，电源输入：USB 电脑直接输入电源-方便简单，，电源参数：5V  ：0.5A 直流，外形体积：175mm x 65mm x 70 mm，包装体积：220mm x 150mm x 80mm，重 量：0.7Kg，全防磁功能，不使屏幕出现色斑干扰。</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对</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复印机</w:t>
            </w:r>
          </w:p>
        </w:tc>
        <w:tc>
          <w:tcPr>
            <w:tcW w:w="3180"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扫描：分辨率600dpi×600dpi，最大原稿尺寸A3，扫描速度23页/分钟，扫描文件格式PDF；</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一般规格：分辨率600dpi×600dpi，连续复印张数（张）1 - 99张，纸张尺寸A3，复印速度22页/分钟，纸张容量330；</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打印：打印速度22页/分钟，分辨率600dpi×600dpi，网络协议tcp/ip</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打印机</w:t>
            </w:r>
          </w:p>
        </w:tc>
        <w:tc>
          <w:tcPr>
            <w:tcW w:w="3180"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打印机类型：黑白打印机</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功能：打印；复印；扫描；其他</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耗材类型：一体式硒鼓</w:t>
            </w:r>
            <w:r>
              <w:rPr>
                <w:rFonts w:hint="eastAsia" w:ascii="宋体" w:hAnsi="宋体" w:cs="宋体"/>
                <w:color w:val="000000" w:themeColor="text1"/>
                <w:kern w:val="0"/>
                <w:szCs w:val="21"/>
                <w:highlight w:val="none"/>
                <w14:textFill>
                  <w14:solidFill>
                    <w14:schemeClr w14:val="tx1"/>
                  </w14:solidFill>
                </w14:textFill>
              </w:rPr>
              <w:br w:type="textWrapping"/>
            </w:r>
            <w:r>
              <w:rPr>
                <w:rFonts w:hint="eastAsia" w:ascii="宋体" w:hAnsi="宋体" w:cs="宋体"/>
                <w:color w:val="000000" w:themeColor="text1"/>
                <w:kern w:val="0"/>
                <w:szCs w:val="21"/>
                <w:highlight w:val="none"/>
                <w14:textFill>
                  <w14:solidFill>
                    <w14:schemeClr w14:val="tx1"/>
                  </w14:solidFill>
                </w14:textFill>
              </w:rPr>
              <w:t>连接方式：无线；有线；USB；</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台</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67"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w:t>
            </w:r>
          </w:p>
        </w:tc>
        <w:tc>
          <w:tcPr>
            <w:tcW w:w="847"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接处警系统利旧搬迁费</w:t>
            </w:r>
          </w:p>
        </w:tc>
        <w:tc>
          <w:tcPr>
            <w:tcW w:w="3180" w:type="pct"/>
            <w:shd w:val="clear" w:color="auto" w:fill="auto"/>
            <w:vAlign w:val="center"/>
          </w:tcPr>
          <w:p>
            <w:pPr>
              <w:widowControl/>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中标单位向负责搬迁公司支付相关费用</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套</w:t>
            </w:r>
          </w:p>
        </w:tc>
        <w:tc>
          <w:tcPr>
            <w:tcW w:w="353" w:type="pct"/>
            <w:shd w:val="clear" w:color="auto" w:fill="auto"/>
            <w:vAlign w:val="center"/>
          </w:tcPr>
          <w:p>
            <w:pPr>
              <w:widowControl/>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r>
    </w:tbl>
    <w:p>
      <w:pPr>
        <w:spacing w:line="360" w:lineRule="auto"/>
        <w:ind w:firstLine="420" w:firstLineChars="200"/>
        <w:rPr>
          <w:rFonts w:ascii="宋体" w:hAnsi="宋体"/>
          <w:color w:val="000000" w:themeColor="text1"/>
          <w:szCs w:val="21"/>
          <w:highlight w:val="none"/>
          <w14:textFill>
            <w14:solidFill>
              <w14:schemeClr w14:val="tx1"/>
            </w14:solidFill>
          </w14:textFill>
        </w:rPr>
      </w:pP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详细设备参数详见机房环境系统</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br w:type="page"/>
      </w:r>
    </w:p>
    <w:p>
      <w:pPr>
        <w:autoSpaceDE w:val="0"/>
        <w:autoSpaceDN w:val="0"/>
        <w:spacing w:line="360" w:lineRule="auto"/>
        <w:jc w:val="center"/>
        <w:outlineLvl w:val="0"/>
        <w:rPr>
          <w:rFonts w:ascii="宋体"/>
          <w:b/>
          <w:bCs/>
          <w:color w:val="000000" w:themeColor="text1"/>
          <w:sz w:val="36"/>
          <w:szCs w:val="36"/>
          <w:highlight w:val="none"/>
          <w14:textFill>
            <w14:solidFill>
              <w14:schemeClr w14:val="tx1"/>
            </w14:solidFill>
          </w14:textFill>
        </w:rPr>
      </w:pPr>
      <w:bookmarkStart w:id="83" w:name="_Toc11875"/>
      <w:bookmarkEnd w:id="83"/>
      <w:r>
        <w:rPr>
          <w:rFonts w:hint="eastAsia" w:ascii="宋体" w:hAnsi="宋体"/>
          <w:b/>
          <w:bCs/>
          <w:color w:val="000000" w:themeColor="text1"/>
          <w:sz w:val="36"/>
          <w:szCs w:val="36"/>
          <w:highlight w:val="none"/>
          <w14:textFill>
            <w14:solidFill>
              <w14:schemeClr w14:val="tx1"/>
            </w14:solidFill>
          </w14:textFill>
        </w:rPr>
        <w:t>第六章</w:t>
      </w:r>
      <w:r>
        <w:rPr>
          <w:rFonts w:hint="eastAsia" w:ascii="宋体"/>
          <w:b/>
          <w:bCs/>
          <w:color w:val="000000" w:themeColor="text1"/>
          <w:sz w:val="36"/>
          <w:szCs w:val="36"/>
          <w:highlight w:val="none"/>
          <w14:textFill>
            <w14:solidFill>
              <w14:schemeClr w14:val="tx1"/>
            </w14:solidFill>
          </w14:textFill>
        </w:rPr>
        <w:t xml:space="preserve"> </w:t>
      </w:r>
      <w:r>
        <w:rPr>
          <w:rFonts w:hint="eastAsia" w:ascii="宋体" w:hAnsi="宋体"/>
          <w:b/>
          <w:bCs/>
          <w:color w:val="000000" w:themeColor="text1"/>
          <w:sz w:val="36"/>
          <w:szCs w:val="36"/>
          <w:highlight w:val="none"/>
          <w14:textFill>
            <w14:solidFill>
              <w14:schemeClr w14:val="tx1"/>
            </w14:solidFill>
          </w14:textFill>
        </w:rPr>
        <w:t>投标文件格式</w:t>
      </w:r>
    </w:p>
    <w:p>
      <w:pPr>
        <w:spacing w:line="360" w:lineRule="auto"/>
        <w:jc w:val="right"/>
        <w:rPr>
          <w:rFonts w:ascii="宋体" w:hAnsi="宋体"/>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 xml:space="preserve"> </w:t>
      </w:r>
    </w:p>
    <w:p>
      <w:pPr>
        <w:pStyle w:val="11"/>
        <w:spacing w:line="360" w:lineRule="auto"/>
        <w:ind w:firstLine="4900" w:firstLineChars="1750"/>
        <w:rPr>
          <w:rFonts w:ascii="宋体" w:hAnsi="宋体" w:cs="黑体"/>
          <w:color w:val="000000" w:themeColor="text1"/>
          <w:kern w:val="0"/>
          <w:sz w:val="28"/>
          <w:szCs w:val="28"/>
          <w:highlight w:val="none"/>
          <w14:textFill>
            <w14:solidFill>
              <w14:schemeClr w14:val="tx1"/>
            </w14:solidFill>
          </w14:textFill>
        </w:rPr>
      </w:pPr>
      <w:r>
        <w:rPr>
          <w:rFonts w:hint="eastAsia" w:ascii="宋体" w:hAnsi="宋体" w:cs="黑体"/>
          <w:color w:val="000000" w:themeColor="text1"/>
          <w:sz w:val="28"/>
          <w:szCs w:val="28"/>
          <w:highlight w:val="none"/>
          <w14:textFill>
            <w14:solidFill>
              <w14:schemeClr w14:val="tx1"/>
            </w14:solidFill>
          </w14:textFill>
        </w:rPr>
        <w:t>（项目名称）</w:t>
      </w:r>
    </w:p>
    <w:p>
      <w:pPr>
        <w:autoSpaceDE w:val="0"/>
        <w:autoSpaceDN w:val="0"/>
        <w:adjustRightInd w:val="0"/>
        <w:spacing w:line="360" w:lineRule="auto"/>
        <w:ind w:firstLine="2520" w:firstLineChars="900"/>
        <w:jc w:val="left"/>
        <w:rPr>
          <w:rFonts w:ascii="宋体" w:hAnsi="宋体" w:cs="黑体"/>
          <w:color w:val="000000" w:themeColor="text1"/>
          <w:kern w:val="0"/>
          <w:sz w:val="28"/>
          <w:szCs w:val="28"/>
          <w:highlight w:val="none"/>
          <w14:textFill>
            <w14:solidFill>
              <w14:schemeClr w14:val="tx1"/>
            </w14:solidFill>
          </w14:textFill>
        </w:rPr>
      </w:pPr>
      <w:r>
        <w:rPr>
          <w:rFonts w:hint="eastAsia" w:ascii="宋体" w:hAnsi="宋体" w:cs="黑体"/>
          <w:color w:val="000000" w:themeColor="text1"/>
          <w:kern w:val="0"/>
          <w:sz w:val="28"/>
          <w:szCs w:val="28"/>
          <w:highlight w:val="none"/>
          <w14:textFill>
            <w14:solidFill>
              <w14:schemeClr w14:val="tx1"/>
            </w14:solidFill>
          </w14:textFill>
        </w:rPr>
        <w:t xml:space="preserve"> </w:t>
      </w:r>
    </w:p>
    <w:p>
      <w:pPr>
        <w:autoSpaceDE w:val="0"/>
        <w:autoSpaceDN w:val="0"/>
        <w:adjustRightInd w:val="0"/>
        <w:spacing w:line="360" w:lineRule="auto"/>
        <w:ind w:firstLine="2520" w:firstLineChars="900"/>
        <w:jc w:val="left"/>
        <w:rPr>
          <w:rFonts w:ascii="宋体" w:hAnsi="宋体" w:cs="黑体"/>
          <w:color w:val="000000" w:themeColor="text1"/>
          <w:kern w:val="0"/>
          <w:sz w:val="28"/>
          <w:szCs w:val="28"/>
          <w:highlight w:val="none"/>
          <w14:textFill>
            <w14:solidFill>
              <w14:schemeClr w14:val="tx1"/>
            </w14:solidFill>
          </w14:textFill>
        </w:rPr>
      </w:pPr>
      <w:r>
        <w:rPr>
          <w:rFonts w:hint="eastAsia" w:ascii="宋体" w:hAnsi="宋体" w:cs="黑体"/>
          <w:color w:val="000000" w:themeColor="text1"/>
          <w:kern w:val="0"/>
          <w:sz w:val="28"/>
          <w:szCs w:val="28"/>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黑体"/>
          <w:color w:val="000000" w:themeColor="text1"/>
          <w:kern w:val="0"/>
          <w:sz w:val="28"/>
          <w:szCs w:val="28"/>
          <w:highlight w:val="none"/>
          <w14:textFill>
            <w14:solidFill>
              <w14:schemeClr w14:val="tx1"/>
            </w14:solidFill>
          </w14:textFill>
        </w:rPr>
      </w:pPr>
      <w:r>
        <w:rPr>
          <w:rFonts w:hint="eastAsia" w:ascii="宋体" w:hAnsi="宋体" w:cs="黑体"/>
          <w:color w:val="000000" w:themeColor="text1"/>
          <w:kern w:val="0"/>
          <w:sz w:val="28"/>
          <w:szCs w:val="28"/>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黑体"/>
          <w:color w:val="000000" w:themeColor="text1"/>
          <w:kern w:val="0"/>
          <w:sz w:val="28"/>
          <w:szCs w:val="28"/>
          <w:highlight w:val="none"/>
          <w14:textFill>
            <w14:solidFill>
              <w14:schemeClr w14:val="tx1"/>
            </w14:solidFill>
          </w14:textFill>
        </w:rPr>
      </w:pPr>
      <w:r>
        <w:rPr>
          <w:rFonts w:hint="eastAsia" w:ascii="宋体" w:hAnsi="宋体" w:cs="黑体"/>
          <w:color w:val="000000" w:themeColor="text1"/>
          <w:kern w:val="0"/>
          <w:sz w:val="28"/>
          <w:szCs w:val="28"/>
          <w:highlight w:val="none"/>
          <w14:textFill>
            <w14:solidFill>
              <w14:schemeClr w14:val="tx1"/>
            </w14:solidFill>
          </w14:textFill>
        </w:rPr>
        <w:t xml:space="preserve"> </w:t>
      </w:r>
    </w:p>
    <w:p>
      <w:pPr>
        <w:autoSpaceDE w:val="0"/>
        <w:autoSpaceDN w:val="0"/>
        <w:adjustRightInd w:val="0"/>
        <w:spacing w:line="360" w:lineRule="auto"/>
        <w:jc w:val="center"/>
        <w:rPr>
          <w:rFonts w:ascii="新宋体" w:hAnsi="新宋体" w:eastAsia="新宋体" w:cs="黑体"/>
          <w:b/>
          <w:bCs/>
          <w:color w:val="000000" w:themeColor="text1"/>
          <w:spacing w:val="60"/>
          <w:kern w:val="0"/>
          <w:sz w:val="70"/>
          <w:szCs w:val="70"/>
          <w:highlight w:val="none"/>
          <w14:textFill>
            <w14:solidFill>
              <w14:schemeClr w14:val="tx1"/>
            </w14:solidFill>
          </w14:textFill>
        </w:rPr>
      </w:pPr>
      <w:r>
        <w:rPr>
          <w:rFonts w:hint="eastAsia" w:ascii="新宋体" w:hAnsi="新宋体" w:eastAsia="新宋体" w:cs="黑体"/>
          <w:b/>
          <w:bCs/>
          <w:color w:val="000000" w:themeColor="text1"/>
          <w:spacing w:val="60"/>
          <w:kern w:val="0"/>
          <w:sz w:val="70"/>
          <w:szCs w:val="70"/>
          <w:highlight w:val="none"/>
          <w14:textFill>
            <w14:solidFill>
              <w14:schemeClr w14:val="tx1"/>
            </w14:solidFill>
          </w14:textFill>
        </w:rPr>
        <w:t>投标文件</w:t>
      </w:r>
    </w:p>
    <w:p>
      <w:pPr>
        <w:autoSpaceDE w:val="0"/>
        <w:autoSpaceDN w:val="0"/>
        <w:adjustRightInd w:val="0"/>
        <w:spacing w:line="360" w:lineRule="auto"/>
        <w:ind w:firstLine="3500" w:firstLineChars="1250"/>
        <w:rPr>
          <w:rFonts w:ascii="宋体" w:hAnsi="宋体" w:cs="黑体"/>
          <w:color w:val="000000" w:themeColor="text1"/>
          <w:kern w:val="0"/>
          <w:sz w:val="28"/>
          <w:szCs w:val="28"/>
          <w:highlight w:val="none"/>
          <w14:textFill>
            <w14:solidFill>
              <w14:schemeClr w14:val="tx1"/>
            </w14:solidFill>
          </w14:textFill>
        </w:rPr>
      </w:pPr>
      <w:r>
        <w:rPr>
          <w:rFonts w:hint="eastAsia" w:ascii="宋体" w:hAnsi="宋体" w:cs="黑体"/>
          <w:color w:val="000000" w:themeColor="text1"/>
          <w:kern w:val="0"/>
          <w:sz w:val="28"/>
          <w:szCs w:val="28"/>
          <w:highlight w:val="none"/>
          <w14:textFill>
            <w14:solidFill>
              <w14:schemeClr w14:val="tx1"/>
            </w14:solidFill>
          </w14:textFill>
        </w:rPr>
        <w:t>项目编号：</w:t>
      </w:r>
    </w:p>
    <w:p>
      <w:pPr>
        <w:autoSpaceDE w:val="0"/>
        <w:autoSpaceDN w:val="0"/>
        <w:adjustRightInd w:val="0"/>
        <w:spacing w:line="360" w:lineRule="auto"/>
        <w:jc w:val="center"/>
        <w:rPr>
          <w:rFonts w:ascii="宋体" w:hAnsi="宋体" w:cs="黑体"/>
          <w:color w:val="000000" w:themeColor="text1"/>
          <w:kern w:val="0"/>
          <w:sz w:val="44"/>
          <w:szCs w:val="44"/>
          <w:highlight w:val="none"/>
          <w14:textFill>
            <w14:solidFill>
              <w14:schemeClr w14:val="tx1"/>
            </w14:solidFill>
          </w14:textFill>
        </w:rPr>
      </w:pPr>
      <w:r>
        <w:rPr>
          <w:rFonts w:hint="eastAsia" w:ascii="宋体" w:hAnsi="宋体" w:cs="黑体"/>
          <w:color w:val="000000" w:themeColor="text1"/>
          <w:kern w:val="0"/>
          <w:sz w:val="44"/>
          <w:szCs w:val="44"/>
          <w:highlight w:val="none"/>
          <w14:textFill>
            <w14:solidFill>
              <w14:schemeClr w14:val="tx1"/>
            </w14:solidFill>
          </w14:textFill>
        </w:rPr>
        <w:t xml:space="preserve"> </w:t>
      </w:r>
    </w:p>
    <w:p>
      <w:pPr>
        <w:autoSpaceDE w:val="0"/>
        <w:autoSpaceDN w:val="0"/>
        <w:adjustRightInd w:val="0"/>
        <w:spacing w:line="360" w:lineRule="auto"/>
        <w:jc w:val="center"/>
        <w:rPr>
          <w:rFonts w:ascii="宋体" w:hAnsi="宋体" w:cs="黑体"/>
          <w:color w:val="000000" w:themeColor="text1"/>
          <w:kern w:val="0"/>
          <w:sz w:val="44"/>
          <w:szCs w:val="44"/>
          <w:highlight w:val="none"/>
          <w14:textFill>
            <w14:solidFill>
              <w14:schemeClr w14:val="tx1"/>
            </w14:solidFill>
          </w14:textFill>
        </w:rPr>
      </w:pPr>
      <w:r>
        <w:rPr>
          <w:rFonts w:hint="eastAsia" w:ascii="宋体" w:hAnsi="宋体" w:cs="黑体"/>
          <w:color w:val="000000" w:themeColor="text1"/>
          <w:kern w:val="0"/>
          <w:sz w:val="44"/>
          <w:szCs w:val="44"/>
          <w:highlight w:val="none"/>
          <w14:textFill>
            <w14:solidFill>
              <w14:schemeClr w14:val="tx1"/>
            </w14:solidFill>
          </w14:textFill>
        </w:rPr>
        <w:t xml:space="preserve"> </w:t>
      </w:r>
    </w:p>
    <w:p>
      <w:pPr>
        <w:autoSpaceDE w:val="0"/>
        <w:autoSpaceDN w:val="0"/>
        <w:adjustRightInd w:val="0"/>
        <w:spacing w:line="360" w:lineRule="auto"/>
        <w:jc w:val="center"/>
        <w:rPr>
          <w:rFonts w:ascii="宋体" w:hAnsi="宋体" w:cs="黑体"/>
          <w:color w:val="000000" w:themeColor="text1"/>
          <w:kern w:val="0"/>
          <w:sz w:val="44"/>
          <w:szCs w:val="44"/>
          <w:highlight w:val="none"/>
          <w14:textFill>
            <w14:solidFill>
              <w14:schemeClr w14:val="tx1"/>
            </w14:solidFill>
          </w14:textFill>
        </w:rPr>
      </w:pPr>
      <w:r>
        <w:rPr>
          <w:rFonts w:hint="eastAsia" w:ascii="宋体" w:hAnsi="宋体" w:cs="黑体"/>
          <w:color w:val="000000" w:themeColor="text1"/>
          <w:kern w:val="0"/>
          <w:sz w:val="44"/>
          <w:szCs w:val="44"/>
          <w:highlight w:val="none"/>
          <w14:textFill>
            <w14:solidFill>
              <w14:schemeClr w14:val="tx1"/>
            </w14:solidFill>
          </w14:textFill>
        </w:rPr>
        <w:t xml:space="preserve"> </w:t>
      </w:r>
    </w:p>
    <w:p>
      <w:pPr>
        <w:autoSpaceDE w:val="0"/>
        <w:autoSpaceDN w:val="0"/>
        <w:adjustRightInd w:val="0"/>
        <w:spacing w:line="360" w:lineRule="auto"/>
        <w:jc w:val="center"/>
        <w:rPr>
          <w:rFonts w:ascii="宋体" w:hAnsi="宋体" w:cs="黑体"/>
          <w:color w:val="000000" w:themeColor="text1"/>
          <w:kern w:val="0"/>
          <w:sz w:val="44"/>
          <w:szCs w:val="44"/>
          <w:highlight w:val="none"/>
          <w14:textFill>
            <w14:solidFill>
              <w14:schemeClr w14:val="tx1"/>
            </w14:solidFill>
          </w14:textFill>
        </w:rPr>
      </w:pPr>
      <w:r>
        <w:rPr>
          <w:rFonts w:hint="eastAsia" w:ascii="宋体" w:hAnsi="宋体" w:cs="黑体"/>
          <w:color w:val="000000" w:themeColor="text1"/>
          <w:kern w:val="0"/>
          <w:sz w:val="44"/>
          <w:szCs w:val="44"/>
          <w:highlight w:val="none"/>
          <w14:textFill>
            <w14:solidFill>
              <w14:schemeClr w14:val="tx1"/>
            </w14:solidFill>
          </w14:textFill>
        </w:rPr>
        <w:t xml:space="preserve"> </w:t>
      </w:r>
    </w:p>
    <w:p>
      <w:pPr>
        <w:autoSpaceDE w:val="0"/>
        <w:autoSpaceDN w:val="0"/>
        <w:adjustRightInd w:val="0"/>
        <w:spacing w:line="360" w:lineRule="auto"/>
        <w:jc w:val="center"/>
        <w:rPr>
          <w:rFonts w:ascii="宋体" w:hAnsi="宋体" w:cs="黑体"/>
          <w:color w:val="000000" w:themeColor="text1"/>
          <w:kern w:val="0"/>
          <w:sz w:val="44"/>
          <w:szCs w:val="44"/>
          <w:highlight w:val="none"/>
          <w14:textFill>
            <w14:solidFill>
              <w14:schemeClr w14:val="tx1"/>
            </w14:solidFill>
          </w14:textFill>
        </w:rPr>
      </w:pPr>
      <w:r>
        <w:rPr>
          <w:rFonts w:hint="eastAsia" w:ascii="宋体" w:hAnsi="宋体" w:cs="黑体"/>
          <w:color w:val="000000" w:themeColor="text1"/>
          <w:kern w:val="0"/>
          <w:sz w:val="44"/>
          <w:szCs w:val="44"/>
          <w:highlight w:val="none"/>
          <w14:textFill>
            <w14:solidFill>
              <w14:schemeClr w14:val="tx1"/>
            </w14:solidFill>
          </w14:textFill>
        </w:rPr>
        <w:t xml:space="preserve"> </w:t>
      </w:r>
    </w:p>
    <w:p>
      <w:pPr>
        <w:autoSpaceDE w:val="0"/>
        <w:autoSpaceDN w:val="0"/>
        <w:adjustRightInd w:val="0"/>
        <w:spacing w:line="360" w:lineRule="auto"/>
        <w:jc w:val="center"/>
        <w:rPr>
          <w:rFonts w:ascii="宋体" w:hAnsi="宋体" w:cs="黑体"/>
          <w:color w:val="000000" w:themeColor="text1"/>
          <w:kern w:val="0"/>
          <w:sz w:val="44"/>
          <w:szCs w:val="44"/>
          <w:highlight w:val="none"/>
          <w14:textFill>
            <w14:solidFill>
              <w14:schemeClr w14:val="tx1"/>
            </w14:solidFill>
          </w14:textFill>
        </w:rPr>
      </w:pPr>
      <w:r>
        <w:rPr>
          <w:rFonts w:hint="eastAsia" w:ascii="宋体" w:hAnsi="宋体" w:cs="黑体"/>
          <w:color w:val="000000" w:themeColor="text1"/>
          <w:kern w:val="0"/>
          <w:sz w:val="44"/>
          <w:szCs w:val="44"/>
          <w:highlight w:val="none"/>
          <w14:textFill>
            <w14:solidFill>
              <w14:schemeClr w14:val="tx1"/>
            </w14:solidFill>
          </w14:textFill>
        </w:rPr>
        <w:t xml:space="preserve"> </w:t>
      </w:r>
    </w:p>
    <w:p>
      <w:pPr>
        <w:pStyle w:val="2"/>
        <w:spacing w:line="360" w:lineRule="auto"/>
        <w:jc w:val="center"/>
        <w:rPr>
          <w:rFonts w:hAnsi="宋体" w:cs="黑体"/>
          <w:color w:val="000000" w:themeColor="text1"/>
          <w:sz w:val="28"/>
          <w:szCs w:val="28"/>
          <w:highlight w:val="none"/>
          <w:u w:val="single"/>
          <w14:textFill>
            <w14:solidFill>
              <w14:schemeClr w14:val="tx1"/>
            </w14:solidFill>
          </w14:textFill>
        </w:rPr>
      </w:pPr>
      <w:r>
        <w:rPr>
          <w:rFonts w:hint="eastAsia" w:hAnsi="宋体" w:cs="黑体"/>
          <w:color w:val="000000" w:themeColor="text1"/>
          <w:sz w:val="28"/>
          <w:szCs w:val="28"/>
          <w:highlight w:val="none"/>
          <w14:textFill>
            <w14:solidFill>
              <w14:schemeClr w14:val="tx1"/>
            </w14:solidFill>
          </w14:textFill>
        </w:rPr>
        <w:t xml:space="preserve">     投标人：</w:t>
      </w:r>
      <w:r>
        <w:rPr>
          <w:rFonts w:hint="eastAsia" w:hAnsi="宋体"/>
          <w:color w:val="000000" w:themeColor="text1"/>
          <w:sz w:val="28"/>
          <w:szCs w:val="28"/>
          <w:highlight w:val="none"/>
          <w:u w:val="single"/>
          <w14:textFill>
            <w14:solidFill>
              <w14:schemeClr w14:val="tx1"/>
            </w14:solidFill>
          </w14:textFill>
        </w:rPr>
        <w:t>（企业电子签章）</w:t>
      </w:r>
    </w:p>
    <w:p>
      <w:pPr>
        <w:pStyle w:val="2"/>
        <w:spacing w:line="360" w:lineRule="auto"/>
        <w:ind w:firstLine="1680" w:firstLineChars="600"/>
        <w:rPr>
          <w:rFonts w:hAnsi="宋体" w:cs="黑体"/>
          <w:color w:val="000000" w:themeColor="text1"/>
          <w:sz w:val="28"/>
          <w:szCs w:val="28"/>
          <w:highlight w:val="none"/>
          <w14:textFill>
            <w14:solidFill>
              <w14:schemeClr w14:val="tx1"/>
            </w14:solidFill>
          </w14:textFill>
        </w:rPr>
      </w:pPr>
      <w:r>
        <w:rPr>
          <w:rFonts w:hint="eastAsia" w:hAnsi="宋体" w:cs="黑体"/>
          <w:color w:val="000000" w:themeColor="text1"/>
          <w:sz w:val="28"/>
          <w:szCs w:val="28"/>
          <w:highlight w:val="none"/>
          <w14:textFill>
            <w14:solidFill>
              <w14:schemeClr w14:val="tx1"/>
            </w14:solidFill>
          </w14:textFill>
        </w:rPr>
        <w:t>法定代表人或其委托代理人：</w:t>
      </w:r>
      <w:r>
        <w:rPr>
          <w:rFonts w:hint="eastAsia" w:hAnsi="宋体"/>
          <w:color w:val="000000" w:themeColor="text1"/>
          <w:sz w:val="28"/>
          <w:szCs w:val="28"/>
          <w:highlight w:val="none"/>
          <w:u w:val="single"/>
          <w14:textFill>
            <w14:solidFill>
              <w14:schemeClr w14:val="tx1"/>
            </w14:solidFill>
          </w14:textFill>
        </w:rPr>
        <w:t>（盖电子签章或签名）</w:t>
      </w:r>
    </w:p>
    <w:p>
      <w:pPr>
        <w:pStyle w:val="2"/>
        <w:spacing w:line="360" w:lineRule="auto"/>
        <w:ind w:firstLine="3640" w:firstLineChars="1300"/>
        <w:jc w:val="both"/>
        <w:rPr>
          <w:rFonts w:hAnsi="宋体" w:cs="黑体"/>
          <w:color w:val="000000" w:themeColor="text1"/>
          <w:sz w:val="28"/>
          <w:szCs w:val="28"/>
          <w:highlight w:val="none"/>
          <w:u w:val="single"/>
          <w14:textFill>
            <w14:solidFill>
              <w14:schemeClr w14:val="tx1"/>
            </w14:solidFill>
          </w14:textFill>
        </w:rPr>
      </w:pPr>
      <w:r>
        <w:rPr>
          <w:rFonts w:hint="eastAsia" w:hAnsi="宋体" w:cs="黑体"/>
          <w:color w:val="000000" w:themeColor="text1"/>
          <w:sz w:val="28"/>
          <w:szCs w:val="28"/>
          <w:highlight w:val="none"/>
          <w14:textFill>
            <w14:solidFill>
              <w14:schemeClr w14:val="tx1"/>
            </w14:solidFill>
          </w14:textFill>
        </w:rPr>
        <w:t>年月日</w:t>
      </w:r>
    </w:p>
    <w:p>
      <w:pPr>
        <w:autoSpaceDE w:val="0"/>
        <w:autoSpaceDN w:val="0"/>
        <w:adjustRightInd w:val="0"/>
        <w:spacing w:line="360" w:lineRule="auto"/>
        <w:rPr>
          <w:rFonts w:ascii="宋体" w:hAnsi="宋体" w:cs="黑体"/>
          <w:b/>
          <w:bCs/>
          <w:color w:val="000000" w:themeColor="text1"/>
          <w:kern w:val="0"/>
          <w:sz w:val="32"/>
          <w:szCs w:val="32"/>
          <w:highlight w:val="none"/>
          <w14:textFill>
            <w14:solidFill>
              <w14:schemeClr w14:val="tx1"/>
            </w14:solidFill>
          </w14:textFill>
        </w:rPr>
      </w:pPr>
      <w:r>
        <w:rPr>
          <w:rFonts w:hint="eastAsia" w:ascii="宋体" w:hAnsi="宋体" w:cs="黑体"/>
          <w:b/>
          <w:bCs/>
          <w:color w:val="000000" w:themeColor="text1"/>
          <w:kern w:val="0"/>
          <w:sz w:val="32"/>
          <w:szCs w:val="32"/>
          <w:highlight w:val="none"/>
          <w14:textFill>
            <w14:solidFill>
              <w14:schemeClr w14:val="tx1"/>
            </w14:solidFill>
          </w14:textFill>
        </w:rPr>
        <w:t xml:space="preserve"> </w:t>
      </w:r>
    </w:p>
    <w:p>
      <w:pPr>
        <w:widowControl/>
        <w:spacing w:line="360" w:lineRule="auto"/>
        <w:jc w:val="left"/>
        <w:rPr>
          <w:rFonts w:ascii="宋体" w:hAnsi="宋体" w:cs="黑体"/>
          <w:b/>
          <w:bCs/>
          <w:color w:val="000000" w:themeColor="text1"/>
          <w:kern w:val="0"/>
          <w:sz w:val="32"/>
          <w:szCs w:val="32"/>
          <w:highlight w:val="none"/>
          <w14:textFill>
            <w14:solidFill>
              <w14:schemeClr w14:val="tx1"/>
            </w14:solidFill>
          </w14:textFill>
        </w:rPr>
        <w:sectPr>
          <w:pgSz w:w="11906" w:h="16838"/>
          <w:pgMar w:top="1418" w:right="1134" w:bottom="1134" w:left="1134" w:header="720" w:footer="720" w:gutter="0"/>
          <w:cols w:space="720" w:num="1"/>
          <w:docGrid w:type="lines" w:linePitch="321" w:charSpace="0"/>
        </w:sectPr>
      </w:pPr>
    </w:p>
    <w:p>
      <w:pPr>
        <w:autoSpaceDE w:val="0"/>
        <w:autoSpaceDN w:val="0"/>
        <w:adjustRightInd w:val="0"/>
        <w:spacing w:line="360" w:lineRule="auto"/>
        <w:jc w:val="center"/>
        <w:rPr>
          <w:rFonts w:ascii="宋体" w:hAnsi="宋体" w:cs="黑体"/>
          <w:b/>
          <w:bCs/>
          <w:color w:val="000000" w:themeColor="text1"/>
          <w:kern w:val="0"/>
          <w:sz w:val="32"/>
          <w:szCs w:val="32"/>
          <w:highlight w:val="none"/>
          <w14:textFill>
            <w14:solidFill>
              <w14:schemeClr w14:val="tx1"/>
            </w14:solidFill>
          </w14:textFill>
        </w:rPr>
      </w:pPr>
      <w:r>
        <w:rPr>
          <w:rFonts w:hint="eastAsia" w:ascii="宋体" w:hAnsi="宋体" w:cs="黑体"/>
          <w:b/>
          <w:bCs/>
          <w:color w:val="000000" w:themeColor="text1"/>
          <w:kern w:val="0"/>
          <w:sz w:val="32"/>
          <w:szCs w:val="32"/>
          <w:highlight w:val="none"/>
          <w14:textFill>
            <w14:solidFill>
              <w14:schemeClr w14:val="tx1"/>
            </w14:solidFill>
          </w14:textFill>
        </w:rPr>
        <w:t>目     录</w:t>
      </w:r>
    </w:p>
    <w:p>
      <w:pPr>
        <w:autoSpaceDE w:val="0"/>
        <w:autoSpaceDN w:val="0"/>
        <w:adjustRightInd w:val="0"/>
        <w:spacing w:line="360" w:lineRule="auto"/>
        <w:jc w:val="center"/>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一、投标函及投标函附录</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二、法定代表人身份证明</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三、授权委托书</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四、售后服务承诺书</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五、报价明细表</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六、技术偏离表</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七、无不良行为记录表</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八、其他资料</w:t>
      </w:r>
    </w:p>
    <w:p>
      <w:pPr>
        <w:autoSpaceDE w:val="0"/>
        <w:autoSpaceDN w:val="0"/>
        <w:adjustRightInd w:val="0"/>
        <w:spacing w:line="360" w:lineRule="auto"/>
        <w:jc w:val="center"/>
        <w:rPr>
          <w:rFonts w:ascii="新宋体" w:hAnsi="新宋体" w:eastAsia="新宋体" w:cs="黑体"/>
          <w:b/>
          <w:bCs/>
          <w:color w:val="000000" w:themeColor="text1"/>
          <w:kern w:val="0"/>
          <w:sz w:val="28"/>
          <w:szCs w:val="28"/>
          <w:highlight w:val="none"/>
          <w14:textFill>
            <w14:solidFill>
              <w14:schemeClr w14:val="tx1"/>
            </w14:solidFill>
          </w14:textFill>
        </w:rPr>
      </w:pPr>
      <w:r>
        <w:rPr>
          <w:rFonts w:hint="eastAsia" w:ascii="新宋体" w:hAnsi="新宋体" w:eastAsia="新宋体" w:cs="黑体"/>
          <w:b/>
          <w:bCs/>
          <w:color w:val="000000" w:themeColor="text1"/>
          <w:kern w:val="0"/>
          <w:sz w:val="28"/>
          <w:szCs w:val="28"/>
          <w:highlight w:val="none"/>
          <w14:textFill>
            <w14:solidFill>
              <w14:schemeClr w14:val="tx1"/>
            </w14:solidFill>
          </w14:textFill>
        </w:rPr>
        <w:t xml:space="preserve"> </w:t>
      </w:r>
    </w:p>
    <w:p>
      <w:pPr>
        <w:autoSpaceDE w:val="0"/>
        <w:autoSpaceDN w:val="0"/>
        <w:adjustRightInd w:val="0"/>
        <w:spacing w:line="360" w:lineRule="auto"/>
        <w:jc w:val="center"/>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p>
    <w:p>
      <w:pPr>
        <w:autoSpaceDE w:val="0"/>
        <w:autoSpaceDN w:val="0"/>
        <w:adjustRightInd w:val="0"/>
        <w:spacing w:line="360" w:lineRule="auto"/>
        <w:rPr>
          <w:rFonts w:ascii="新宋体" w:hAnsi="新宋体" w:eastAsia="新宋体" w:cs="黑体"/>
          <w:b/>
          <w:bCs/>
          <w:color w:val="000000" w:themeColor="text1"/>
          <w:kern w:val="0"/>
          <w:sz w:val="32"/>
          <w:szCs w:val="32"/>
          <w:highlight w:val="none"/>
          <w14:textFill>
            <w14:solidFill>
              <w14:schemeClr w14:val="tx1"/>
            </w14:solidFill>
          </w14:textFill>
        </w:rPr>
      </w:pPr>
      <w:r>
        <w:rPr>
          <w:rFonts w:hint="eastAsia" w:ascii="新宋体" w:hAnsi="新宋体" w:eastAsia="新宋体" w:cs="黑体"/>
          <w:b/>
          <w:bCs/>
          <w:color w:val="000000" w:themeColor="text1"/>
          <w:kern w:val="0"/>
          <w:sz w:val="32"/>
          <w:szCs w:val="32"/>
          <w:highlight w:val="none"/>
          <w14:textFill>
            <w14:solidFill>
              <w14:schemeClr w14:val="tx1"/>
            </w14:solidFill>
          </w14:textFill>
        </w:rPr>
        <w:t xml:space="preserve"> </w:t>
      </w:r>
      <w:bookmarkStart w:id="84" w:name="_Toc3524"/>
      <w:bookmarkEnd w:id="84"/>
    </w:p>
    <w:p>
      <w:pPr>
        <w:widowControl/>
        <w:spacing w:line="360" w:lineRule="auto"/>
        <w:jc w:val="left"/>
        <w:rPr>
          <w:rFonts w:ascii="黑体" w:hAnsi="宋体" w:eastAsia="黑体"/>
          <w:b/>
          <w:bCs/>
          <w:color w:val="000000" w:themeColor="text1"/>
          <w:sz w:val="28"/>
          <w:szCs w:val="28"/>
          <w:highlight w:val="none"/>
          <w14:textFill>
            <w14:solidFill>
              <w14:schemeClr w14:val="tx1"/>
            </w14:solidFill>
          </w14:textFill>
        </w:rPr>
        <w:sectPr>
          <w:pgSz w:w="11906" w:h="16838"/>
          <w:pgMar w:top="1418" w:right="1134" w:bottom="1134" w:left="1134" w:header="720" w:footer="720" w:gutter="0"/>
          <w:cols w:space="720" w:num="1"/>
          <w:docGrid w:type="lines" w:linePitch="321" w:charSpace="0"/>
        </w:sectPr>
      </w:pPr>
    </w:p>
    <w:p>
      <w:pPr>
        <w:pStyle w:val="4"/>
        <w:jc w:val="center"/>
        <w:rPr>
          <w:rFonts w:ascii="黑体" w:hAnsi="宋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一、投标函及投标函附录</w:t>
      </w:r>
    </w:p>
    <w:p>
      <w:pPr>
        <w:autoSpaceDE w:val="0"/>
        <w:autoSpaceDN w:val="0"/>
        <w:adjustRightInd w:val="0"/>
        <w:spacing w:line="360" w:lineRule="auto"/>
        <w:jc w:val="center"/>
        <w:rPr>
          <w:rFonts w:ascii="宋体" w:hAnsi="宋体" w:cs="黑体"/>
          <w:color w:val="000000" w:themeColor="text1"/>
          <w:kern w:val="0"/>
          <w:sz w:val="24"/>
          <w:highlight w:val="none"/>
          <w14:textFill>
            <w14:solidFill>
              <w14:schemeClr w14:val="tx1"/>
            </w14:solidFill>
          </w14:textFill>
        </w:rPr>
      </w:pPr>
      <w:r>
        <w:rPr>
          <w:rFonts w:hint="eastAsia" w:ascii="黑体" w:hAnsi="黑体" w:eastAsia="黑体"/>
          <w:color w:val="000000" w:themeColor="text1"/>
          <w:kern w:val="0"/>
          <w:sz w:val="28"/>
          <w:szCs w:val="28"/>
          <w:highlight w:val="none"/>
          <w14:textFill>
            <w14:solidFill>
              <w14:schemeClr w14:val="tx1"/>
            </w14:solidFill>
          </w14:textFill>
        </w:rPr>
        <w:t>（一）投标函</w:t>
      </w:r>
    </w:p>
    <w:p>
      <w:pPr>
        <w:autoSpaceDE w:val="0"/>
        <w:autoSpaceDN w:val="0"/>
        <w:adjustRightInd w:val="0"/>
        <w:spacing w:line="360" w:lineRule="auto"/>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（采购人名称）：</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1．我方已仔细研究了</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（项目名称）招标文件的全部内容，愿意提供和交付本次采购项目货物和服务的投标报价为（大写）：</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（小写）：</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，交货（服务）期__</w:t>
      </w:r>
      <w:r>
        <w:rPr>
          <w:rFonts w:hint="eastAsia" w:ascii="宋体" w:hAnsi="宋体"/>
          <w:color w:val="000000" w:themeColor="text1"/>
          <w:kern w:val="0"/>
          <w:highlight w:val="none"/>
          <w:u w:val="single"/>
          <w14:textFill>
            <w14:solidFill>
              <w14:schemeClr w14:val="tx1"/>
            </w14:solidFill>
          </w14:textFill>
        </w:rPr>
        <w:t xml:space="preserve">__    _ </w:t>
      </w:r>
      <w:r>
        <w:rPr>
          <w:rFonts w:hint="eastAsia" w:ascii="宋体" w:hAnsi="宋体"/>
          <w:color w:val="000000" w:themeColor="text1"/>
          <w:kern w:val="0"/>
          <w:highlight w:val="none"/>
          <w14:textFill>
            <w14:solidFill>
              <w14:schemeClr w14:val="tx1"/>
            </w14:solidFill>
          </w14:textFill>
        </w:rPr>
        <w:t xml:space="preserve"> ，按合同约定完成本项目，质量达到</w:t>
      </w:r>
      <w:r>
        <w:rPr>
          <w:rFonts w:hint="eastAsia" w:ascii="宋体" w:hAnsi="宋体"/>
          <w:color w:val="000000" w:themeColor="text1"/>
          <w:kern w:val="0"/>
          <w:highlight w:val="none"/>
          <w:u w:val="single"/>
          <w14:textFill>
            <w14:solidFill>
              <w14:schemeClr w14:val="tx1"/>
            </w14:solidFill>
          </w14:textFill>
        </w:rPr>
        <w:t xml:space="preserve"> _ </w:t>
      </w:r>
      <w:r>
        <w:rPr>
          <w:rFonts w:hint="eastAsia" w:ascii="宋体" w:hAnsi="宋体"/>
          <w:color w:val="000000" w:themeColor="text1"/>
          <w:kern w:val="0"/>
          <w:highlight w:val="none"/>
          <w14:textFill>
            <w14:solidFill>
              <w14:schemeClr w14:val="tx1"/>
            </w14:solidFill>
          </w14:textFill>
        </w:rPr>
        <w:t>。</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2．我方承诺在投标有效期内不修改、撤销投标文件，投标有效期自投标截止之日起60日历天。</w:t>
      </w:r>
    </w:p>
    <w:p>
      <w:pPr>
        <w:autoSpaceDE w:val="0"/>
        <w:autoSpaceDN w:val="0"/>
        <w:adjustRightInd w:val="0"/>
        <w:spacing w:line="360" w:lineRule="auto"/>
        <w:ind w:firstLine="525" w:firstLineChars="25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3．如我方中标：</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(l)我方承诺在接到中标通知书后30天内未能或拒绝签订合同协议书，你单位有权另选中标单位。</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(2)随同本投标函递交的投标函附录属于合同文件的组成部分。</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(3)我方承诺按照招标文件及合同专用条款规定承担相应费用及递交履约担保。</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(4)我方承诺在合同约定的期限内完成并移交全部合同项目。</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（5）我方承诺愿按招标文件的规定向招标代理机构缴纳代理服务费；</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5．我方在此声明，所递交的投标文件及有关资料内容完整、真实和准确，且不存在第二章“供应商须知”第1.6项规定的任何一种情形。</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6. 我方理解并完全同意在我方未中标时贵方可能采用我方投标文件中的部分内容。</w:t>
      </w:r>
    </w:p>
    <w:p>
      <w:pPr>
        <w:autoSpaceDE w:val="0"/>
        <w:autoSpaceDN w:val="0"/>
        <w:adjustRightIn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7.</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（其他补充说明）。</w:t>
      </w:r>
    </w:p>
    <w:p>
      <w:pPr>
        <w:autoSpaceDE w:val="0"/>
        <w:autoSpaceDN w:val="0"/>
        <w:adjustRightInd w:val="0"/>
        <w:spacing w:line="360" w:lineRule="auto"/>
        <w:ind w:firstLine="2520" w:firstLineChars="1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         投 标 人：</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（企业电子签章）</w:t>
      </w:r>
    </w:p>
    <w:p>
      <w:pPr>
        <w:autoSpaceDE w:val="0"/>
        <w:autoSpaceDN w:val="0"/>
        <w:adjustRightInd w:val="0"/>
        <w:spacing w:line="360" w:lineRule="auto"/>
        <w:ind w:firstLine="1050" w:firstLineChars="5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           法定代表人或其委托代理人：</w:t>
      </w:r>
      <w:r>
        <w:rPr>
          <w:rFonts w:hint="eastAsia" w:ascii="宋体" w:hAnsi="宋体"/>
          <w:color w:val="000000" w:themeColor="text1"/>
          <w:kern w:val="0"/>
          <w:highlight w:val="none"/>
          <w:u w:val="singl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（签字或盖电子签章）</w:t>
      </w:r>
    </w:p>
    <w:p>
      <w:pPr>
        <w:autoSpaceDE w:val="0"/>
        <w:autoSpaceDN w:val="0"/>
        <w:adjustRightInd w:val="0"/>
        <w:spacing w:line="360" w:lineRule="auto"/>
        <w:ind w:firstLine="2520" w:firstLineChars="1200"/>
        <w:jc w:val="left"/>
        <w:rPr>
          <w:rFonts w:ascii="宋体" w:hAnsi="宋体"/>
          <w:color w:val="000000" w:themeColor="text1"/>
          <w:kern w:val="0"/>
          <w:highlight w:val="none"/>
          <w:u w:val="singl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         地址：</w:t>
      </w:r>
      <w:r>
        <w:rPr>
          <w:rFonts w:hint="eastAsia" w:ascii="宋体" w:hAnsi="宋体"/>
          <w:color w:val="000000" w:themeColor="text1"/>
          <w:kern w:val="0"/>
          <w:highlight w:val="none"/>
          <w:u w:val="single"/>
          <w14:textFill>
            <w14:solidFill>
              <w14:schemeClr w14:val="tx1"/>
            </w14:solidFill>
          </w14:textFill>
        </w:rPr>
        <w:t>________________________</w:t>
      </w:r>
    </w:p>
    <w:p>
      <w:pPr>
        <w:autoSpaceDE w:val="0"/>
        <w:autoSpaceDN w:val="0"/>
        <w:adjustRightInd w:val="0"/>
        <w:spacing w:line="360" w:lineRule="auto"/>
        <w:ind w:firstLine="2520" w:firstLineChars="1200"/>
        <w:jc w:val="left"/>
        <w:rPr>
          <w:rFonts w:ascii="宋体" w:hAnsi="宋体"/>
          <w:color w:val="000000" w:themeColor="text1"/>
          <w:kern w:val="0"/>
          <w:highlight w:val="none"/>
          <w:u w:val="singl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 xml:space="preserve">         电话：</w:t>
      </w:r>
      <w:r>
        <w:rPr>
          <w:rFonts w:hint="eastAsia" w:ascii="宋体" w:hAnsi="宋体"/>
          <w:color w:val="000000" w:themeColor="text1"/>
          <w:kern w:val="0"/>
          <w:highlight w:val="none"/>
          <w:u w:val="single"/>
          <w14:textFill>
            <w14:solidFill>
              <w14:schemeClr w14:val="tx1"/>
            </w14:solidFill>
          </w14:textFill>
        </w:rPr>
        <w:t>________________________</w:t>
      </w:r>
    </w:p>
    <w:p>
      <w:pPr>
        <w:autoSpaceDE w:val="0"/>
        <w:autoSpaceDN w:val="0"/>
        <w:adjustRightInd w:val="0"/>
        <w:spacing w:line="360" w:lineRule="auto"/>
        <w:ind w:firstLine="3045" w:firstLineChars="1450"/>
        <w:jc w:val="left"/>
        <w:rPr>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年月</w:t>
      </w:r>
      <w:r>
        <w:rPr>
          <w:rFonts w:hint="eastAsia"/>
          <w:color w:val="000000" w:themeColor="text1"/>
          <w:kern w:val="0"/>
          <w:highlight w:val="none"/>
          <w14:textFill>
            <w14:solidFill>
              <w14:schemeClr w14:val="tx1"/>
            </w14:solidFill>
          </w14:textFill>
        </w:rPr>
        <w:t xml:space="preserve"> </w:t>
      </w:r>
      <w:r>
        <w:rPr>
          <w:rFonts w:hint="eastAsia" w:ascii="宋体" w:hAnsi="宋体"/>
          <w:color w:val="000000" w:themeColor="text1"/>
          <w:kern w:val="0"/>
          <w:highlight w:val="none"/>
          <w14:textFill>
            <w14:solidFill>
              <w14:schemeClr w14:val="tx1"/>
            </w14:solidFill>
          </w14:textFill>
        </w:rPr>
        <w:t>日</w:t>
      </w:r>
    </w:p>
    <w:p>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pStyle w:val="2"/>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pPr>
        <w:pStyle w:val="2"/>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pPr>
        <w:pStyle w:val="2"/>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pPr>
        <w:pStyle w:val="5"/>
        <w:spacing w:before="0" w:after="0" w:line="360" w:lineRule="auto"/>
        <w:jc w:val="center"/>
        <w:rPr>
          <w:color w:val="000000" w:themeColor="text1"/>
          <w:highlight w:val="none"/>
          <w14:textFill>
            <w14:solidFill>
              <w14:schemeClr w14:val="tx1"/>
            </w14:solidFill>
          </w14:textFill>
        </w:rPr>
      </w:pPr>
      <w:r>
        <w:rPr>
          <w:rFonts w:hint="eastAsia" w:ascii="黑体" w:hAnsi="黑体"/>
          <w:color w:val="000000" w:themeColor="text1"/>
          <w:highlight w:val="none"/>
          <w14:textFill>
            <w14:solidFill>
              <w14:schemeClr w14:val="tx1"/>
            </w14:solidFill>
          </w14:textFill>
        </w:rPr>
        <w:t>（二）投标函附录</w:t>
      </w:r>
    </w:p>
    <w:tbl>
      <w:tblPr>
        <w:tblStyle w:val="13"/>
        <w:tblW w:w="8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9"/>
        <w:gridCol w:w="2551"/>
        <w:gridCol w:w="1485"/>
        <w:gridCol w:w="66"/>
        <w:gridCol w:w="2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项目名称</w:t>
            </w:r>
          </w:p>
        </w:tc>
        <w:tc>
          <w:tcPr>
            <w:tcW w:w="6725" w:type="dxa"/>
            <w:gridSpan w:val="4"/>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b/>
                <w:bCs/>
                <w:color w:val="000000" w:themeColor="text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投标人</w:t>
            </w:r>
          </w:p>
        </w:tc>
        <w:tc>
          <w:tcPr>
            <w:tcW w:w="6725" w:type="dxa"/>
            <w:gridSpan w:val="4"/>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投标报价</w:t>
            </w:r>
          </w:p>
        </w:tc>
        <w:tc>
          <w:tcPr>
            <w:tcW w:w="4102" w:type="dxa"/>
            <w:gridSpan w:val="3"/>
            <w:tcBorders>
              <w:top w:val="single" w:color="auto" w:sz="4" w:space="0"/>
              <w:left w:val="nil"/>
              <w:bottom w:val="single" w:color="auto" w:sz="4" w:space="0"/>
              <w:right w:val="single" w:color="auto" w:sz="4" w:space="0"/>
            </w:tcBorders>
            <w:vAlign w:val="center"/>
          </w:tcPr>
          <w:p>
            <w:pPr>
              <w:spacing w:line="360" w:lineRule="auto"/>
              <w:ind w:firstLine="2520" w:firstLineChars="1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（大写）</w:t>
            </w:r>
          </w:p>
        </w:tc>
        <w:tc>
          <w:tcPr>
            <w:tcW w:w="2623" w:type="dxa"/>
            <w:tcBorders>
              <w:top w:val="single" w:color="auto" w:sz="4" w:space="0"/>
              <w:left w:val="nil"/>
              <w:bottom w:val="single" w:color="auto" w:sz="4" w:space="0"/>
              <w:right w:val="single" w:color="auto" w:sz="4" w:space="0"/>
            </w:tcBorders>
            <w:vAlign w:val="center"/>
          </w:tcPr>
          <w:p>
            <w:pPr>
              <w:spacing w:line="360" w:lineRule="auto"/>
              <w:ind w:firstLine="1260" w:firstLineChars="6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投标内容</w:t>
            </w:r>
          </w:p>
        </w:tc>
        <w:tc>
          <w:tcPr>
            <w:tcW w:w="6725" w:type="dxa"/>
            <w:gridSpan w:val="4"/>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交货期</w:t>
            </w:r>
          </w:p>
        </w:tc>
        <w:tc>
          <w:tcPr>
            <w:tcW w:w="6725" w:type="dxa"/>
            <w:gridSpan w:val="4"/>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交货地点</w:t>
            </w:r>
          </w:p>
        </w:tc>
        <w:tc>
          <w:tcPr>
            <w:tcW w:w="6725" w:type="dxa"/>
            <w:gridSpan w:val="4"/>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质保期</w:t>
            </w:r>
          </w:p>
        </w:tc>
        <w:tc>
          <w:tcPr>
            <w:tcW w:w="6725" w:type="dxa"/>
            <w:gridSpan w:val="4"/>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质量要求</w:t>
            </w:r>
          </w:p>
        </w:tc>
        <w:tc>
          <w:tcPr>
            <w:tcW w:w="6725" w:type="dxa"/>
            <w:gridSpan w:val="4"/>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项目经理</w:t>
            </w:r>
          </w:p>
        </w:tc>
        <w:tc>
          <w:tcPr>
            <w:tcW w:w="2551" w:type="dxa"/>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p>
        </w:tc>
        <w:tc>
          <w:tcPr>
            <w:tcW w:w="1485" w:type="dxa"/>
            <w:tcBorders>
              <w:top w:val="single" w:color="auto" w:sz="4" w:space="0"/>
              <w:left w:val="nil"/>
              <w:bottom w:val="single" w:color="auto" w:sz="4" w:space="0"/>
              <w:right w:val="single" w:color="auto" w:sz="4" w:space="0"/>
            </w:tcBorders>
            <w:vAlign w:val="center"/>
          </w:tcPr>
          <w:p>
            <w:pPr>
              <w:spacing w:line="360" w:lineRule="auto"/>
              <w:ind w:firstLine="210" w:firstLineChars="1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注册编号</w:t>
            </w:r>
          </w:p>
        </w:tc>
        <w:tc>
          <w:tcPr>
            <w:tcW w:w="2689" w:type="dxa"/>
            <w:gridSpan w:val="2"/>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投标人资质</w:t>
            </w:r>
          </w:p>
        </w:tc>
        <w:tc>
          <w:tcPr>
            <w:tcW w:w="6725" w:type="dxa"/>
            <w:gridSpan w:val="4"/>
            <w:tcBorders>
              <w:top w:val="single" w:color="auto" w:sz="4" w:space="0"/>
              <w:left w:val="nil"/>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需要说明的问题</w:t>
            </w:r>
          </w:p>
        </w:tc>
        <w:tc>
          <w:tcPr>
            <w:tcW w:w="6725" w:type="dxa"/>
            <w:gridSpan w:val="4"/>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r>
    </w:tbl>
    <w:p>
      <w:pPr>
        <w:spacing w:line="360" w:lineRule="auto"/>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 xml:space="preserve"> </w:t>
      </w:r>
    </w:p>
    <w:p>
      <w:pPr>
        <w:spacing w:line="360" w:lineRule="auto"/>
        <w:jc w:val="center"/>
        <w:rPr>
          <w:rFonts w:ascii="宋体" w:hAnsi="宋体"/>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 xml:space="preserve"> </w:t>
      </w:r>
    </w:p>
    <w:p>
      <w:pPr>
        <w:spacing w:line="360" w:lineRule="auto"/>
        <w:jc w:val="righ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投标人：（</w:t>
      </w:r>
      <w:r>
        <w:rPr>
          <w:rFonts w:hint="eastAsia" w:ascii="宋体" w:hAnsi="宋体"/>
          <w:color w:val="000000" w:themeColor="text1"/>
          <w:kern w:val="0"/>
          <w:highlight w:val="none"/>
          <w14:textFill>
            <w14:solidFill>
              <w14:schemeClr w14:val="tx1"/>
            </w14:solidFill>
          </w14:textFill>
        </w:rPr>
        <w:t>企业电子签章</w:t>
      </w:r>
      <w:r>
        <w:rPr>
          <w:rFonts w:hint="eastAsia" w:ascii="宋体" w:hAnsi="宋体"/>
          <w:color w:val="000000" w:themeColor="text1"/>
          <w:highlight w:val="none"/>
          <w14:textFill>
            <w14:solidFill>
              <w14:schemeClr w14:val="tx1"/>
            </w14:solidFill>
          </w14:textFill>
        </w:rPr>
        <w:t>）____________________</w:t>
      </w:r>
    </w:p>
    <w:p>
      <w:pPr>
        <w:spacing w:line="360" w:lineRule="auto"/>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法定代表人或其委托代理人：（</w:t>
      </w:r>
      <w:r>
        <w:rPr>
          <w:rFonts w:hint="eastAsia" w:ascii="宋体" w:hAnsi="宋体"/>
          <w:color w:val="000000" w:themeColor="text1"/>
          <w:kern w:val="0"/>
          <w:highlight w:val="none"/>
          <w14:textFill>
            <w14:solidFill>
              <w14:schemeClr w14:val="tx1"/>
            </w14:solidFill>
          </w14:textFill>
        </w:rPr>
        <w:t>签字或盖电子签章</w:t>
      </w:r>
      <w:r>
        <w:rPr>
          <w:rFonts w:hint="eastAsia" w:ascii="宋体" w:hAnsi="宋体"/>
          <w:color w:val="000000" w:themeColor="text1"/>
          <w:highlight w:val="none"/>
          <w14:textFill>
            <w14:solidFill>
              <w14:schemeClr w14:val="tx1"/>
            </w14:solidFill>
          </w14:textFill>
        </w:rPr>
        <w:t>）______________</w:t>
      </w:r>
    </w:p>
    <w:p>
      <w:pPr>
        <w:spacing w:line="360" w:lineRule="auto"/>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________ 年________月______ 日</w:t>
      </w:r>
    </w:p>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p>
    <w:p>
      <w:pPr>
        <w:pStyle w:val="4"/>
        <w:jc w:val="center"/>
        <w:rPr>
          <w:rFonts w:ascii="黑体" w:hAnsi="黑体" w:eastAsia="黑体"/>
          <w:color w:val="000000" w:themeColor="text1"/>
          <w:kern w:val="0"/>
          <w:sz w:val="28"/>
          <w:szCs w:val="28"/>
          <w:highlight w:val="none"/>
          <w14:textFill>
            <w14:solidFill>
              <w14:schemeClr w14:val="tx1"/>
            </w14:solidFill>
          </w14:textFill>
        </w:rPr>
      </w:pPr>
      <w:bookmarkStart w:id="85" w:name="_Toc13845"/>
      <w:bookmarkEnd w:id="85"/>
      <w:r>
        <w:rPr>
          <w:rFonts w:hint="eastAsia" w:ascii="黑体" w:hAnsi="黑体" w:eastAsia="黑体"/>
          <w:color w:val="000000" w:themeColor="text1"/>
          <w:kern w:val="0"/>
          <w:sz w:val="28"/>
          <w:szCs w:val="28"/>
          <w:highlight w:val="none"/>
          <w14:textFill>
            <w14:solidFill>
              <w14:schemeClr w14:val="tx1"/>
            </w14:solidFill>
          </w14:textFill>
        </w:rPr>
        <w:t>二、法定代表人身份证明</w:t>
      </w:r>
    </w:p>
    <w:p>
      <w:pPr>
        <w:autoSpaceDE w:val="0"/>
        <w:autoSpaceDN w:val="0"/>
        <w:adjustRightInd w:val="0"/>
        <w:spacing w:line="360" w:lineRule="auto"/>
        <w:jc w:val="center"/>
        <w:rPr>
          <w:rFonts w:ascii="宋体" w:hAnsi="宋体" w:cs="黑体"/>
          <w:color w:val="000000" w:themeColor="text1"/>
          <w:kern w:val="0"/>
          <w:sz w:val="28"/>
          <w:szCs w:val="28"/>
          <w:highlight w:val="none"/>
          <w14:textFill>
            <w14:solidFill>
              <w14:schemeClr w14:val="tx1"/>
            </w14:solidFill>
          </w14:textFill>
        </w:rPr>
      </w:pPr>
      <w:r>
        <w:rPr>
          <w:rFonts w:hint="eastAsia" w:ascii="宋体" w:hAnsi="宋体" w:cs="黑体"/>
          <w:color w:val="000000" w:themeColor="text1"/>
          <w:kern w:val="0"/>
          <w:sz w:val="28"/>
          <w:szCs w:val="28"/>
          <w:highlight w:val="none"/>
          <w14:textFill>
            <w14:solidFill>
              <w14:schemeClr w14:val="tx1"/>
            </w14:solidFill>
          </w14:textFill>
        </w:rPr>
        <w:t xml:space="preserve"> </w:t>
      </w:r>
    </w:p>
    <w:p>
      <w:pPr>
        <w:spacing w:line="360" w:lineRule="auto"/>
        <w:ind w:firstLine="600" w:firstLineChars="2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w:t>
      </w:r>
      <w:r>
        <w:rPr>
          <w:rFonts w:hint="eastAsia" w:ascii="宋体" w:hAnsi="宋体"/>
          <w:color w:val="000000" w:themeColor="text1"/>
          <w:highlight w:val="none"/>
          <w14:textFill>
            <w14:solidFill>
              <w14:schemeClr w14:val="tx1"/>
            </w14:solidFill>
          </w14:textFill>
        </w:rPr>
        <w:t>标人名称：_________________________</w:t>
      </w:r>
    </w:p>
    <w:p>
      <w:pPr>
        <w:spacing w:line="36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单位性质：_________________________</w:t>
      </w:r>
    </w:p>
    <w:p>
      <w:pPr>
        <w:spacing w:line="36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地址：_________________________</w:t>
      </w:r>
    </w:p>
    <w:p>
      <w:pPr>
        <w:spacing w:line="36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成立时间：</w:t>
      </w:r>
      <w:r>
        <w:rPr>
          <w:rFonts w:hint="eastAsia"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年</w:t>
      </w:r>
      <w:r>
        <w:rPr>
          <w:rFonts w:hint="eastAsia"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月</w:t>
      </w:r>
      <w:r>
        <w:rPr>
          <w:rFonts w:hint="eastAsia"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日</w:t>
      </w:r>
    </w:p>
    <w:p>
      <w:pPr>
        <w:spacing w:line="36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经营期限：_________________________ </w:t>
      </w:r>
    </w:p>
    <w:p>
      <w:pPr>
        <w:spacing w:line="360" w:lineRule="auto"/>
        <w:ind w:firstLine="630" w:firstLineChars="300"/>
        <w:rPr>
          <w:rFonts w:ascii="宋体" w:hAnsi="宋体"/>
          <w:color w:val="000000" w:themeColor="text1"/>
          <w:highlight w:val="none"/>
          <w:u w:val="single"/>
          <w14:textFill>
            <w14:solidFill>
              <w14:schemeClr w14:val="tx1"/>
            </w14:solidFill>
          </w14:textFill>
        </w:rPr>
      </w:pPr>
      <w:r>
        <w:rPr>
          <w:rFonts w:hint="eastAsia" w:ascii="宋体" w:hAnsi="宋体"/>
          <w:color w:val="000000" w:themeColor="text1"/>
          <w:highlight w:val="none"/>
          <w14:textFill>
            <w14:solidFill>
              <w14:schemeClr w14:val="tx1"/>
            </w14:solidFill>
          </w14:textFill>
        </w:rPr>
        <w:t>姓名：</w:t>
      </w:r>
      <w:r>
        <w:rPr>
          <w:rFonts w:hint="eastAsia"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性别：</w:t>
      </w:r>
      <w:r>
        <w:rPr>
          <w:rFonts w:hint="eastAsia"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 xml:space="preserve"> 年龄：</w:t>
      </w:r>
      <w:r>
        <w:rPr>
          <w:rFonts w:hint="eastAsia"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职务：</w:t>
      </w:r>
      <w:r>
        <w:rPr>
          <w:rFonts w:hint="eastAsia" w:ascii="宋体" w:hAnsi="宋体"/>
          <w:color w:val="000000" w:themeColor="text1"/>
          <w:highlight w:val="none"/>
          <w:u w:val="single"/>
          <w14:textFill>
            <w14:solidFill>
              <w14:schemeClr w14:val="tx1"/>
            </w14:solidFill>
          </w14:textFill>
        </w:rPr>
        <w:t xml:space="preserve">   </w:t>
      </w:r>
    </w:p>
    <w:p>
      <w:pPr>
        <w:spacing w:line="36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系 </w:t>
      </w:r>
      <w:r>
        <w:rPr>
          <w:rFonts w:hint="eastAsia"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（投标人名称）的法定代表人。</w:t>
      </w:r>
    </w:p>
    <w:p>
      <w:pPr>
        <w:spacing w:line="36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特此证明。</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投标人：（</w:t>
      </w:r>
      <w:r>
        <w:rPr>
          <w:rFonts w:hint="eastAsia" w:ascii="宋体" w:hAnsi="宋体"/>
          <w:color w:val="000000" w:themeColor="text1"/>
          <w:kern w:val="0"/>
          <w:highlight w:val="none"/>
          <w14:textFill>
            <w14:solidFill>
              <w14:schemeClr w14:val="tx1"/>
            </w14:solidFill>
          </w14:textFill>
        </w:rPr>
        <w:t>企业电子签章</w:t>
      </w:r>
      <w:r>
        <w:rPr>
          <w:rFonts w:hint="eastAsia" w:ascii="宋体" w:hAnsi="宋体"/>
          <w:color w:val="000000" w:themeColor="text1"/>
          <w:highlight w:val="none"/>
          <w14:textFill>
            <w14:solidFill>
              <w14:schemeClr w14:val="tx1"/>
            </w14:solidFill>
          </w14:textFill>
        </w:rPr>
        <w:t>）</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autoSpaceDE w:val="0"/>
        <w:autoSpaceDN w:val="0"/>
        <w:adjustRightInd w:val="0"/>
        <w:spacing w:line="360" w:lineRule="auto"/>
        <w:ind w:firstLine="3238" w:firstLineChars="1542"/>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年月日</w:t>
      </w:r>
    </w:p>
    <w:p>
      <w:pPr>
        <w:autoSpaceDE w:val="0"/>
        <w:autoSpaceDN w:val="0"/>
        <w:adjustRightInd w:val="0"/>
        <w:spacing w:line="360" w:lineRule="auto"/>
        <w:jc w:val="left"/>
        <w:rPr>
          <w:rFonts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 </w:t>
      </w:r>
    </w:p>
    <w:p>
      <w:pPr>
        <w:spacing w:line="360" w:lineRule="auto"/>
        <w:jc w:val="right"/>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黑体"/>
          <w:color w:val="000000" w:themeColor="text1"/>
          <w:kern w:val="0"/>
          <w:highlight w:val="none"/>
          <w14:textFill>
            <w14:solidFill>
              <w14:schemeClr w14:val="tx1"/>
            </w14:solidFill>
          </w14:textFill>
        </w:rPr>
      </w:pPr>
      <w:r>
        <w:rPr>
          <w:rFonts w:hint="eastAsia" w:ascii="宋体" w:hAnsi="宋体" w:cs="黑体"/>
          <w:color w:val="000000" w:themeColor="text1"/>
          <w:kern w:val="0"/>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黑体"/>
          <w:color w:val="000000" w:themeColor="text1"/>
          <w:kern w:val="0"/>
          <w:highlight w:val="none"/>
          <w14:textFill>
            <w14:solidFill>
              <w14:schemeClr w14:val="tx1"/>
            </w14:solidFill>
          </w14:textFill>
        </w:rPr>
      </w:pPr>
      <w:r>
        <w:rPr>
          <w:rFonts w:hint="eastAsia" w:ascii="宋体" w:hAnsi="宋体" w:cs="黑体"/>
          <w:color w:val="000000" w:themeColor="text1"/>
          <w:kern w:val="0"/>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黑体"/>
          <w:color w:val="000000" w:themeColor="text1"/>
          <w:kern w:val="0"/>
          <w:sz w:val="24"/>
          <w:highlight w:val="none"/>
          <w14:textFill>
            <w14:solidFill>
              <w14:schemeClr w14:val="tx1"/>
            </w14:solidFill>
          </w14:textFill>
        </w:rPr>
      </w:pPr>
      <w:r>
        <w:rPr>
          <w:rFonts w:hint="eastAsia" w:ascii="宋体" w:hAnsi="宋体" w:cs="黑体"/>
          <w:color w:val="000000" w:themeColor="text1"/>
          <w:kern w:val="0"/>
          <w:sz w:val="24"/>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黑体"/>
          <w:color w:val="000000" w:themeColor="text1"/>
          <w:kern w:val="0"/>
          <w:sz w:val="24"/>
          <w:highlight w:val="none"/>
          <w14:textFill>
            <w14:solidFill>
              <w14:schemeClr w14:val="tx1"/>
            </w14:solidFill>
          </w14:textFill>
        </w:rPr>
      </w:pPr>
      <w:r>
        <w:rPr>
          <w:rFonts w:hint="eastAsia" w:ascii="宋体" w:hAnsi="宋体" w:cs="黑体"/>
          <w:color w:val="000000" w:themeColor="text1"/>
          <w:kern w:val="0"/>
          <w:sz w:val="24"/>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黑体"/>
          <w:color w:val="000000" w:themeColor="text1"/>
          <w:kern w:val="0"/>
          <w:sz w:val="24"/>
          <w:highlight w:val="none"/>
          <w14:textFill>
            <w14:solidFill>
              <w14:schemeClr w14:val="tx1"/>
            </w14:solidFill>
          </w14:textFill>
        </w:rPr>
      </w:pPr>
      <w:r>
        <w:rPr>
          <w:rFonts w:hint="eastAsia" w:ascii="宋体" w:hAnsi="宋体" w:cs="黑体"/>
          <w:color w:val="000000" w:themeColor="text1"/>
          <w:kern w:val="0"/>
          <w:sz w:val="24"/>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黑体"/>
          <w:color w:val="000000" w:themeColor="text1"/>
          <w:kern w:val="0"/>
          <w:sz w:val="28"/>
          <w:szCs w:val="28"/>
          <w:highlight w:val="none"/>
          <w14:textFill>
            <w14:solidFill>
              <w14:schemeClr w14:val="tx1"/>
            </w14:solidFill>
          </w14:textFill>
        </w:rPr>
      </w:pPr>
      <w:r>
        <w:rPr>
          <w:rFonts w:hint="eastAsia" w:ascii="宋体" w:hAnsi="宋体" w:cs="黑体"/>
          <w:color w:val="000000" w:themeColor="text1"/>
          <w:kern w:val="0"/>
          <w:sz w:val="28"/>
          <w:szCs w:val="28"/>
          <w:highlight w:val="none"/>
          <w14:textFill>
            <w14:solidFill>
              <w14:schemeClr w14:val="tx1"/>
            </w14:solidFill>
          </w14:textFill>
        </w:rPr>
        <w:t xml:space="preserve"> </w:t>
      </w:r>
    </w:p>
    <w:p>
      <w:pPr>
        <w:pStyle w:val="4"/>
        <w:jc w:val="center"/>
        <w:rPr>
          <w:rFonts w:ascii="黑体" w:hAnsi="新宋体" w:eastAsia="黑体"/>
          <w:color w:val="000000" w:themeColor="text1"/>
          <w:kern w:val="0"/>
          <w:sz w:val="28"/>
          <w:szCs w:val="28"/>
          <w:highlight w:val="none"/>
          <w14:textFill>
            <w14:solidFill>
              <w14:schemeClr w14:val="tx1"/>
            </w14:solidFill>
          </w14:textFill>
        </w:rPr>
      </w:pPr>
      <w:bookmarkStart w:id="86" w:name="_Toc30864"/>
      <w:bookmarkEnd w:id="86"/>
      <w:r>
        <w:rPr>
          <w:rFonts w:hint="eastAsia" w:ascii="黑体" w:hAnsi="黑体" w:eastAsia="黑体"/>
          <w:color w:val="000000" w:themeColor="text1"/>
          <w:kern w:val="0"/>
          <w:sz w:val="28"/>
          <w:szCs w:val="28"/>
          <w:highlight w:val="none"/>
          <w14:textFill>
            <w14:solidFill>
              <w14:schemeClr w14:val="tx1"/>
            </w14:solidFill>
          </w14:textFill>
        </w:rPr>
        <w:t>三、授权委托书</w:t>
      </w:r>
    </w:p>
    <w:p>
      <w:pPr>
        <w:autoSpaceDE w:val="0"/>
        <w:autoSpaceDN w:val="0"/>
        <w:adjustRightInd w:val="0"/>
        <w:spacing w:line="360" w:lineRule="auto"/>
        <w:rPr>
          <w:rFonts w:ascii="宋体" w:hAnsi="宋体" w:cs="黑体"/>
          <w:color w:val="000000" w:themeColor="text1"/>
          <w:kern w:val="0"/>
          <w:sz w:val="24"/>
          <w:highlight w:val="none"/>
          <w14:textFill>
            <w14:solidFill>
              <w14:schemeClr w14:val="tx1"/>
            </w14:solidFill>
          </w14:textFill>
        </w:rPr>
      </w:pPr>
      <w:r>
        <w:rPr>
          <w:rFonts w:hint="eastAsia" w:ascii="宋体" w:hAnsi="宋体" w:cs="黑体"/>
          <w:color w:val="000000" w:themeColor="text1"/>
          <w:kern w:val="0"/>
          <w:sz w:val="24"/>
          <w:highlight w:val="none"/>
          <w14:textFill>
            <w14:solidFill>
              <w14:schemeClr w14:val="tx1"/>
            </w14:solidFill>
          </w14:textFill>
        </w:rPr>
        <w:t xml:space="preserve"> </w:t>
      </w:r>
    </w:p>
    <w:p>
      <w:pPr>
        <w:autoSpaceDE w:val="0"/>
        <w:autoSpaceDN w:val="0"/>
        <w:adjustRightInd w:val="0"/>
        <w:spacing w:line="360" w:lineRule="auto"/>
        <w:ind w:firstLine="420" w:firstLineChars="200"/>
        <w:jc w:val="left"/>
        <w:rPr>
          <w:rFonts w:ascii="宋体" w:hAnsi="宋体" w:cs="仿宋_GB2312"/>
          <w:color w:val="000000" w:themeColor="text1"/>
          <w:kern w:val="0"/>
          <w:szCs w:val="21"/>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本人</w:t>
      </w:r>
      <w:r>
        <w:rPr>
          <w:rFonts w:hint="eastAsia" w:ascii="宋体" w:hAnsi="宋体" w:cs="仿宋_GB2312"/>
          <w:color w:val="000000" w:themeColor="text1"/>
          <w:kern w:val="0"/>
          <w:highlight w:val="none"/>
          <w:u w:val="single"/>
          <w14:textFill>
            <w14:solidFill>
              <w14:schemeClr w14:val="tx1"/>
            </w14:solidFill>
          </w14:textFill>
        </w:rPr>
        <w:t>（姓名）</w:t>
      </w:r>
      <w:r>
        <w:rPr>
          <w:rFonts w:hint="eastAsia" w:ascii="宋体" w:hAnsi="宋体" w:cs="仿宋_GB2312"/>
          <w:color w:val="000000" w:themeColor="text1"/>
          <w:kern w:val="0"/>
          <w:highlight w:val="none"/>
          <w14:textFill>
            <w14:solidFill>
              <w14:schemeClr w14:val="tx1"/>
            </w14:solidFill>
          </w14:textFill>
        </w:rPr>
        <w:t xml:space="preserve">系 </w:t>
      </w:r>
      <w:r>
        <w:rPr>
          <w:rFonts w:hint="eastAsia" w:ascii="宋体" w:hAnsi="宋体" w:cs="仿宋_GB2312"/>
          <w:color w:val="000000" w:themeColor="text1"/>
          <w:kern w:val="0"/>
          <w:highlight w:val="none"/>
          <w:u w:val="single"/>
          <w14:textFill>
            <w14:solidFill>
              <w14:schemeClr w14:val="tx1"/>
            </w14:solidFill>
          </w14:textFill>
        </w:rPr>
        <w:t>（投标人名称）</w:t>
      </w:r>
      <w:r>
        <w:rPr>
          <w:rFonts w:hint="eastAsia" w:ascii="宋体" w:hAnsi="宋体" w:cs="仿宋_GB2312"/>
          <w:color w:val="000000" w:themeColor="text1"/>
          <w:kern w:val="0"/>
          <w:highlight w:val="none"/>
          <w14:textFill>
            <w14:solidFill>
              <w14:schemeClr w14:val="tx1"/>
            </w14:solidFill>
          </w14:textFill>
        </w:rPr>
        <w:t>的法定代表人，现委托</w:t>
      </w:r>
      <w:r>
        <w:rPr>
          <w:rFonts w:hint="eastAsia" w:ascii="宋体" w:hAnsi="宋体" w:cs="仿宋_GB2312"/>
          <w:color w:val="000000" w:themeColor="text1"/>
          <w:kern w:val="0"/>
          <w:highlight w:val="none"/>
          <w:u w:val="single"/>
          <w14:textFill>
            <w14:solidFill>
              <w14:schemeClr w14:val="tx1"/>
            </w14:solidFill>
          </w14:textFill>
        </w:rPr>
        <w:t>（姓名）</w:t>
      </w:r>
      <w:r>
        <w:rPr>
          <w:rFonts w:hint="eastAsia" w:ascii="宋体" w:hAnsi="宋体" w:cs="仿宋_GB2312"/>
          <w:color w:val="000000" w:themeColor="text1"/>
          <w:kern w:val="0"/>
          <w:highlight w:val="none"/>
          <w14:textFill>
            <w14:solidFill>
              <w14:schemeClr w14:val="tx1"/>
            </w14:solidFill>
          </w14:textFill>
        </w:rPr>
        <w:t>为我方代理人。代理人根据授权，以我方名义签署、澄清、说明、补正、递交、撤回、修改</w:t>
      </w:r>
      <w:r>
        <w:rPr>
          <w:rFonts w:hint="eastAsia" w:ascii="宋体" w:hAnsi="宋体" w:cs="仿宋_GB2312"/>
          <w:color w:val="000000" w:themeColor="text1"/>
          <w:kern w:val="0"/>
          <w:highlight w:val="none"/>
          <w:u w:val="single"/>
          <w14:textFill>
            <w14:solidFill>
              <w14:schemeClr w14:val="tx1"/>
            </w14:solidFill>
          </w14:textFill>
        </w:rPr>
        <w:t xml:space="preserve">          （项目名称）</w:t>
      </w:r>
      <w:r>
        <w:rPr>
          <w:rFonts w:hint="eastAsia" w:ascii="宋体" w:hAnsi="宋体" w:cs="仿宋_GB2312"/>
          <w:color w:val="000000" w:themeColor="text1"/>
          <w:kern w:val="0"/>
          <w:highlight w:val="none"/>
          <w14:textFill>
            <w14:solidFill>
              <w14:schemeClr w14:val="tx1"/>
            </w14:solidFill>
          </w14:textFill>
        </w:rPr>
        <w:t>投标文件、签订合同和处理有关事宜，其法律后果由我方承担。</w:t>
      </w:r>
    </w:p>
    <w:p>
      <w:pPr>
        <w:autoSpaceDE w:val="0"/>
        <w:autoSpaceDN w:val="0"/>
        <w:adjustRightInd w:val="0"/>
        <w:spacing w:line="360" w:lineRule="auto"/>
        <w:ind w:firstLine="420" w:firstLineChars="200"/>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委托期限：</w:t>
      </w:r>
      <w:r>
        <w:rPr>
          <w:rFonts w:hint="eastAsia" w:ascii="宋体" w:hAnsi="宋体" w:cs="仿宋_GB2312"/>
          <w:color w:val="000000" w:themeColor="text1"/>
          <w:kern w:val="0"/>
          <w:highlight w:val="none"/>
          <w:u w:val="single"/>
          <w14:textFill>
            <w14:solidFill>
              <w14:schemeClr w14:val="tx1"/>
            </w14:solidFill>
          </w14:textFill>
        </w:rPr>
        <w:t xml:space="preserve">      </w:t>
      </w:r>
      <w:r>
        <w:rPr>
          <w:rFonts w:hint="eastAsia" w:ascii="宋体" w:hAnsi="宋体" w:cs="仿宋_GB2312"/>
          <w:color w:val="000000" w:themeColor="text1"/>
          <w:kern w:val="0"/>
          <w:highlight w:val="none"/>
          <w14:textFill>
            <w14:solidFill>
              <w14:schemeClr w14:val="tx1"/>
            </w14:solidFill>
          </w14:textFill>
        </w:rPr>
        <w:t>。</w:t>
      </w:r>
    </w:p>
    <w:p>
      <w:pPr>
        <w:autoSpaceDE w:val="0"/>
        <w:autoSpaceDN w:val="0"/>
        <w:adjustRightInd w:val="0"/>
        <w:spacing w:line="360" w:lineRule="auto"/>
        <w:ind w:firstLine="420" w:firstLineChars="200"/>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代理人无转委托权。</w:t>
      </w:r>
    </w:p>
    <w:p>
      <w:pPr>
        <w:autoSpaceDE w:val="0"/>
        <w:autoSpaceDN w:val="0"/>
        <w:adjustRightInd w:val="0"/>
        <w:spacing w:line="360" w:lineRule="auto"/>
        <w:ind w:firstLine="420" w:firstLineChars="200"/>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p>
    <w:p>
      <w:pPr>
        <w:autoSpaceDE w:val="0"/>
        <w:autoSpaceDN w:val="0"/>
        <w:adjustRightInd w:val="0"/>
        <w:spacing w:line="360" w:lineRule="auto"/>
        <w:ind w:firstLine="420" w:firstLineChars="200"/>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附：法定代表人及授权委托人身份证原件扫描件</w:t>
      </w:r>
    </w:p>
    <w:p>
      <w:pPr>
        <w:autoSpaceDE w:val="0"/>
        <w:autoSpaceDN w:val="0"/>
        <w:adjustRightInd w:val="0"/>
        <w:spacing w:line="360" w:lineRule="auto"/>
        <w:ind w:firstLine="420" w:firstLineChars="200"/>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p>
    <w:p>
      <w:pPr>
        <w:autoSpaceDE w:val="0"/>
        <w:autoSpaceDN w:val="0"/>
        <w:adjustRightInd w:val="0"/>
        <w:spacing w:line="360" w:lineRule="auto"/>
        <w:ind w:firstLine="420" w:firstLineChars="200"/>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 xml:space="preserve"> </w:t>
      </w:r>
    </w:p>
    <w:p>
      <w:pPr>
        <w:autoSpaceDE w:val="0"/>
        <w:autoSpaceDN w:val="0"/>
        <w:adjustRightInd w:val="0"/>
        <w:spacing w:line="360" w:lineRule="auto"/>
        <w:ind w:firstLine="3238" w:firstLineChars="1542"/>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投标人：（</w:t>
      </w:r>
      <w:r>
        <w:rPr>
          <w:rFonts w:hint="eastAsia" w:ascii="宋体" w:hAnsi="宋体"/>
          <w:color w:val="000000" w:themeColor="text1"/>
          <w:kern w:val="0"/>
          <w:highlight w:val="none"/>
          <w14:textFill>
            <w14:solidFill>
              <w14:schemeClr w14:val="tx1"/>
            </w14:solidFill>
          </w14:textFill>
        </w:rPr>
        <w:t>企业电子签章</w:t>
      </w:r>
      <w:r>
        <w:rPr>
          <w:rFonts w:hint="eastAsia" w:ascii="宋体" w:hAnsi="宋体" w:cs="仿宋_GB2312"/>
          <w:color w:val="000000" w:themeColor="text1"/>
          <w:kern w:val="0"/>
          <w:highlight w:val="none"/>
          <w14:textFill>
            <w14:solidFill>
              <w14:schemeClr w14:val="tx1"/>
            </w14:solidFill>
          </w14:textFill>
        </w:rPr>
        <w:t>）</w:t>
      </w:r>
    </w:p>
    <w:p>
      <w:pPr>
        <w:autoSpaceDE w:val="0"/>
        <w:autoSpaceDN w:val="0"/>
        <w:adjustRightInd w:val="0"/>
        <w:spacing w:line="360" w:lineRule="auto"/>
        <w:ind w:firstLine="3238" w:firstLineChars="1542"/>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法定代表人：（签字或</w:t>
      </w:r>
      <w:r>
        <w:rPr>
          <w:rFonts w:hint="eastAsia" w:ascii="宋体" w:hAnsi="宋体"/>
          <w:color w:val="000000" w:themeColor="text1"/>
          <w:kern w:val="0"/>
          <w:highlight w:val="none"/>
          <w14:textFill>
            <w14:solidFill>
              <w14:schemeClr w14:val="tx1"/>
            </w14:solidFill>
          </w14:textFill>
        </w:rPr>
        <w:t>盖电子签章</w:t>
      </w:r>
      <w:r>
        <w:rPr>
          <w:rFonts w:hint="eastAsia" w:ascii="宋体" w:hAnsi="宋体" w:cs="仿宋_GB2312"/>
          <w:color w:val="000000" w:themeColor="text1"/>
          <w:kern w:val="0"/>
          <w:highlight w:val="none"/>
          <w14:textFill>
            <w14:solidFill>
              <w14:schemeClr w14:val="tx1"/>
            </w14:solidFill>
          </w14:textFill>
        </w:rPr>
        <w:t>）</w:t>
      </w:r>
    </w:p>
    <w:p>
      <w:pPr>
        <w:autoSpaceDE w:val="0"/>
        <w:autoSpaceDN w:val="0"/>
        <w:adjustRightInd w:val="0"/>
        <w:spacing w:line="360" w:lineRule="auto"/>
        <w:ind w:firstLine="3238" w:firstLineChars="1542"/>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身份证号码：</w:t>
      </w:r>
      <w:r>
        <w:rPr>
          <w:rFonts w:hint="eastAsia" w:ascii="宋体" w:hAnsi="宋体"/>
          <w:color w:val="000000" w:themeColor="text1"/>
          <w:highlight w:val="none"/>
          <w:u w:val="single"/>
          <w14:textFill>
            <w14:solidFill>
              <w14:schemeClr w14:val="tx1"/>
            </w14:solidFill>
          </w14:textFill>
        </w:rPr>
        <w:t>___________________</w:t>
      </w:r>
    </w:p>
    <w:p>
      <w:pPr>
        <w:autoSpaceDE w:val="0"/>
        <w:autoSpaceDN w:val="0"/>
        <w:adjustRightInd w:val="0"/>
        <w:spacing w:line="360" w:lineRule="auto"/>
        <w:ind w:firstLine="3238" w:firstLineChars="1542"/>
        <w:jc w:val="left"/>
        <w:rPr>
          <w:rFonts w:ascii="宋体" w:hAnsi="宋体"/>
          <w:color w:val="000000" w:themeColor="text1"/>
          <w:highlight w:val="none"/>
          <w:u w:val="singl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委托代理人：</w:t>
      </w:r>
      <w:r>
        <w:rPr>
          <w:rFonts w:hint="eastAsia" w:ascii="宋体" w:hAnsi="宋体"/>
          <w:color w:val="000000" w:themeColor="text1"/>
          <w:highlight w:val="none"/>
          <w:u w:val="single"/>
          <w14:textFill>
            <w14:solidFill>
              <w14:schemeClr w14:val="tx1"/>
            </w14:solidFill>
          </w14:textFill>
        </w:rPr>
        <w:t>_____           ____</w:t>
      </w:r>
    </w:p>
    <w:p>
      <w:pPr>
        <w:autoSpaceDE w:val="0"/>
        <w:autoSpaceDN w:val="0"/>
        <w:adjustRightInd w:val="0"/>
        <w:spacing w:line="360" w:lineRule="auto"/>
        <w:ind w:firstLine="3238" w:firstLineChars="1542"/>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身份证号码：</w:t>
      </w:r>
      <w:r>
        <w:rPr>
          <w:rFonts w:hint="eastAsia" w:ascii="宋体" w:hAnsi="宋体"/>
          <w:color w:val="000000" w:themeColor="text1"/>
          <w:highlight w:val="none"/>
          <w:u w:val="single"/>
          <w14:textFill>
            <w14:solidFill>
              <w14:schemeClr w14:val="tx1"/>
            </w14:solidFill>
          </w14:textFill>
        </w:rPr>
        <w:t>__________________</w:t>
      </w:r>
    </w:p>
    <w:p>
      <w:pPr>
        <w:autoSpaceDE w:val="0"/>
        <w:autoSpaceDN w:val="0"/>
        <w:adjustRightInd w:val="0"/>
        <w:spacing w:line="360" w:lineRule="auto"/>
        <w:ind w:firstLine="3238" w:firstLineChars="1542"/>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年月日</w:t>
      </w:r>
    </w:p>
    <w:p>
      <w:pPr>
        <w:autoSpaceDE w:val="0"/>
        <w:autoSpaceDN w:val="0"/>
        <w:adjustRightInd w:val="0"/>
        <w:spacing w:line="360" w:lineRule="auto"/>
        <w:jc w:val="left"/>
        <w:rPr>
          <w:rFonts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s="黑体"/>
          <w:color w:val="000000" w:themeColor="text1"/>
          <w:kern w:val="0"/>
          <w:sz w:val="28"/>
          <w:szCs w:val="28"/>
          <w:highlight w:val="none"/>
          <w14:textFill>
            <w14:solidFill>
              <w14:schemeClr w14:val="tx1"/>
            </w14:solidFill>
          </w14:textFill>
        </w:rPr>
      </w:pPr>
      <w:r>
        <w:rPr>
          <w:rFonts w:hint="eastAsia" w:ascii="宋体" w:hAnsi="宋体" w:cs="黑体"/>
          <w:color w:val="000000" w:themeColor="text1"/>
          <w:kern w:val="0"/>
          <w:sz w:val="28"/>
          <w:szCs w:val="28"/>
          <w:highlight w:val="none"/>
          <w14:textFill>
            <w14:solidFill>
              <w14:schemeClr w14:val="tx1"/>
            </w14:solidFill>
          </w14:textFill>
        </w:rPr>
        <w:t xml:space="preserve"> </w:t>
      </w:r>
    </w:p>
    <w:p>
      <w:pPr>
        <w:spacing w:line="360" w:lineRule="auto"/>
        <w:rPr>
          <w:rFonts w:ascii="黑体" w:hAnsi="新宋体" w:eastAsia="黑体"/>
          <w:b/>
          <w:bCs/>
          <w:color w:val="000000" w:themeColor="text1"/>
          <w:kern w:val="0"/>
          <w:sz w:val="28"/>
          <w:szCs w:val="28"/>
          <w:highlight w:val="none"/>
          <w14:textFill>
            <w14:solidFill>
              <w14:schemeClr w14:val="tx1"/>
            </w14:solidFill>
          </w14:textFill>
        </w:rPr>
      </w:pPr>
      <w:r>
        <w:rPr>
          <w:rFonts w:hint="eastAsia" w:ascii="黑体" w:hAnsi="新宋体" w:eastAsia="黑体"/>
          <w:b/>
          <w:bCs/>
          <w:color w:val="000000" w:themeColor="text1"/>
          <w:kern w:val="0"/>
          <w:sz w:val="28"/>
          <w:szCs w:val="28"/>
          <w:highlight w:val="none"/>
          <w14:textFill>
            <w14:solidFill>
              <w14:schemeClr w14:val="tx1"/>
            </w14:solidFill>
          </w14:textFill>
        </w:rPr>
        <w:t xml:space="preserve"> </w:t>
      </w:r>
    </w:p>
    <w:p>
      <w:pPr>
        <w:spacing w:line="360" w:lineRule="auto"/>
        <w:rPr>
          <w:rFonts w:ascii="黑体" w:hAnsi="新宋体" w:eastAsia="黑体"/>
          <w:b/>
          <w:bCs/>
          <w:color w:val="000000" w:themeColor="text1"/>
          <w:kern w:val="0"/>
          <w:sz w:val="28"/>
          <w:szCs w:val="28"/>
          <w:highlight w:val="none"/>
          <w14:textFill>
            <w14:solidFill>
              <w14:schemeClr w14:val="tx1"/>
            </w14:solidFill>
          </w14:textFill>
        </w:rPr>
      </w:pPr>
      <w:r>
        <w:rPr>
          <w:rFonts w:hint="eastAsia" w:ascii="黑体" w:hAnsi="新宋体" w:eastAsia="黑体"/>
          <w:b/>
          <w:bCs/>
          <w:color w:val="000000" w:themeColor="text1"/>
          <w:kern w:val="0"/>
          <w:sz w:val="28"/>
          <w:szCs w:val="28"/>
          <w:highlight w:val="none"/>
          <w14:textFill>
            <w14:solidFill>
              <w14:schemeClr w14:val="tx1"/>
            </w14:solidFill>
          </w14:textFill>
        </w:rPr>
        <w:t xml:space="preserve"> </w:t>
      </w:r>
    </w:p>
    <w:p>
      <w:pPr>
        <w:spacing w:line="360" w:lineRule="auto"/>
        <w:rPr>
          <w:rFonts w:ascii="黑体" w:hAnsi="新宋体" w:eastAsia="黑体"/>
          <w:b/>
          <w:bCs/>
          <w:color w:val="000000" w:themeColor="text1"/>
          <w:kern w:val="0"/>
          <w:sz w:val="28"/>
          <w:szCs w:val="28"/>
          <w:highlight w:val="none"/>
          <w14:textFill>
            <w14:solidFill>
              <w14:schemeClr w14:val="tx1"/>
            </w14:solidFill>
          </w14:textFill>
        </w:rPr>
      </w:pPr>
      <w:r>
        <w:rPr>
          <w:rFonts w:hint="eastAsia" w:ascii="黑体" w:hAnsi="新宋体" w:eastAsia="黑体"/>
          <w:b/>
          <w:bCs/>
          <w:color w:val="000000" w:themeColor="text1"/>
          <w:kern w:val="0"/>
          <w:sz w:val="28"/>
          <w:szCs w:val="28"/>
          <w:highlight w:val="none"/>
          <w14:textFill>
            <w14:solidFill>
              <w14:schemeClr w14:val="tx1"/>
            </w14:solidFill>
          </w14:textFill>
        </w:rPr>
        <w:t xml:space="preserve"> </w:t>
      </w:r>
    </w:p>
    <w:p>
      <w:pPr>
        <w:spacing w:line="360" w:lineRule="auto"/>
        <w:rPr>
          <w:rFonts w:ascii="黑体" w:hAnsi="新宋体" w:eastAsia="黑体"/>
          <w:b/>
          <w:bCs/>
          <w:color w:val="000000" w:themeColor="text1"/>
          <w:kern w:val="0"/>
          <w:sz w:val="28"/>
          <w:szCs w:val="28"/>
          <w:highlight w:val="none"/>
          <w14:textFill>
            <w14:solidFill>
              <w14:schemeClr w14:val="tx1"/>
            </w14:solidFill>
          </w14:textFill>
        </w:rPr>
      </w:pPr>
      <w:r>
        <w:rPr>
          <w:rFonts w:hint="eastAsia" w:ascii="黑体" w:hAnsi="新宋体" w:eastAsia="黑体"/>
          <w:b/>
          <w:bCs/>
          <w:color w:val="000000" w:themeColor="text1"/>
          <w:kern w:val="0"/>
          <w:sz w:val="28"/>
          <w:szCs w:val="28"/>
          <w:highlight w:val="none"/>
          <w14:textFill>
            <w14:solidFill>
              <w14:schemeClr w14:val="tx1"/>
            </w14:solidFill>
          </w14:textFill>
        </w:rPr>
        <w:t xml:space="preserve"> </w:t>
      </w:r>
    </w:p>
    <w:p>
      <w:pPr>
        <w:pStyle w:val="2"/>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pPr>
        <w:spacing w:line="360" w:lineRule="auto"/>
        <w:rPr>
          <w:rFonts w:ascii="黑体" w:hAnsi="新宋体" w:eastAsia="黑体"/>
          <w:b/>
          <w:bCs/>
          <w:color w:val="000000" w:themeColor="text1"/>
          <w:kern w:val="0"/>
          <w:sz w:val="28"/>
          <w:szCs w:val="28"/>
          <w:highlight w:val="none"/>
          <w14:textFill>
            <w14:solidFill>
              <w14:schemeClr w14:val="tx1"/>
            </w14:solidFill>
          </w14:textFill>
        </w:rPr>
      </w:pPr>
      <w:r>
        <w:rPr>
          <w:rFonts w:hint="eastAsia" w:ascii="黑体" w:hAnsi="新宋体" w:eastAsia="黑体"/>
          <w:b/>
          <w:bCs/>
          <w:color w:val="000000" w:themeColor="text1"/>
          <w:kern w:val="0"/>
          <w:sz w:val="28"/>
          <w:szCs w:val="28"/>
          <w:highlight w:val="none"/>
          <w14:textFill>
            <w14:solidFill>
              <w14:schemeClr w14:val="tx1"/>
            </w14:solidFill>
          </w14:textFill>
        </w:rPr>
        <w:t xml:space="preserve"> </w:t>
      </w:r>
    </w:p>
    <w:p>
      <w:pPr>
        <w:spacing w:line="360" w:lineRule="auto"/>
        <w:jc w:val="center"/>
        <w:rPr>
          <w:rFonts w:ascii="宋体" w:hAnsi="宋体"/>
          <w:b/>
          <w:bCs/>
          <w:color w:val="000000" w:themeColor="text1"/>
          <w:sz w:val="30"/>
          <w:szCs w:val="30"/>
          <w:highlight w:val="none"/>
          <w14:textFill>
            <w14:solidFill>
              <w14:schemeClr w14:val="tx1"/>
            </w14:solidFill>
          </w14:textFill>
        </w:rPr>
      </w:pPr>
      <w:r>
        <w:rPr>
          <w:rFonts w:hint="eastAsia" w:ascii="宋体" w:hAnsi="宋体" w:cs="楷体_GB2312"/>
          <w:b/>
          <w:bCs/>
          <w:color w:val="000000" w:themeColor="text1"/>
          <w:sz w:val="30"/>
          <w:szCs w:val="30"/>
          <w:highlight w:val="none"/>
          <w14:textFill>
            <w14:solidFill>
              <w14:schemeClr w14:val="tx1"/>
            </w14:solidFill>
          </w14:textFill>
        </w:rPr>
        <w:t>四、售后服务承诺书</w:t>
      </w:r>
    </w:p>
    <w:tbl>
      <w:tblPr>
        <w:tblStyle w:val="1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7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trPr>
        <w:tc>
          <w:tcPr>
            <w:tcW w:w="19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投标人</w:t>
            </w:r>
          </w:p>
        </w:tc>
        <w:tc>
          <w:tcPr>
            <w:tcW w:w="7272" w:type="dxa"/>
            <w:tcBorders>
              <w:top w:val="single" w:color="auto" w:sz="4" w:space="0"/>
              <w:left w:val="nil"/>
              <w:bottom w:val="single" w:color="auto" w:sz="4" w:space="0"/>
              <w:right w:val="single" w:color="auto" w:sz="4" w:space="0"/>
            </w:tcBorders>
          </w:tcPr>
          <w:p>
            <w:pPr>
              <w:adjustRightInd w:val="0"/>
              <w:snapToGrid w:val="0"/>
              <w:spacing w:line="360" w:lineRule="auto"/>
              <w:ind w:right="-332" w:rightChars="-158"/>
              <w:jc w:val="center"/>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3" w:hRule="atLeast"/>
        </w:trPr>
        <w:tc>
          <w:tcPr>
            <w:tcW w:w="9180"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360" w:lineRule="auto"/>
              <w:ind w:firstLine="210" w:firstLineChars="100"/>
              <w:rPr>
                <w:rFonts w:ascii="宋体" w:hAnsi="宋体"/>
                <w:color w:val="000000" w:themeColor="text1"/>
                <w:szCs w:val="21"/>
                <w:highlight w:val="none"/>
                <w14:textFill>
                  <w14:solidFill>
                    <w14:schemeClr w14:val="tx1"/>
                  </w14:solidFill>
                </w14:textFill>
              </w:rPr>
            </w:pPr>
          </w:p>
          <w:p>
            <w:pPr>
              <w:adjustRightInd w:val="0"/>
              <w:snapToGrid w:val="0"/>
              <w:spacing w:line="360" w:lineRule="auto"/>
              <w:ind w:firstLine="210" w:firstLineChars="1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承诺内容：</w:t>
            </w:r>
          </w:p>
        </w:tc>
      </w:tr>
    </w:tbl>
    <w:p>
      <w:pPr>
        <w:spacing w:line="360" w:lineRule="auto"/>
        <w:ind w:firstLine="354" w:firstLineChars="147"/>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注：表格不够可加页</w:t>
      </w:r>
    </w:p>
    <w:p>
      <w:pPr>
        <w:spacing w:line="360" w:lineRule="auto"/>
        <w:jc w:val="center"/>
        <w:rPr>
          <w:rFonts w:ascii="楷体_GB2312" w:hAnsi="宋体" w:eastAsia="楷体_GB2312"/>
          <w:color w:val="000000" w:themeColor="text1"/>
          <w:sz w:val="24"/>
          <w:highlight w:val="none"/>
          <w14:textFill>
            <w14:solidFill>
              <w14:schemeClr w14:val="tx1"/>
            </w14:solidFill>
          </w14:textFill>
        </w:rPr>
      </w:pPr>
      <w:r>
        <w:rPr>
          <w:rFonts w:hint="eastAsia" w:ascii="楷体_GB2312" w:hAnsi="宋体" w:eastAsia="楷体_GB2312"/>
          <w:color w:val="000000" w:themeColor="text1"/>
          <w:sz w:val="24"/>
          <w:highlight w:val="none"/>
          <w14:textFill>
            <w14:solidFill>
              <w14:schemeClr w14:val="tx1"/>
            </w14:solidFill>
          </w14:textFill>
        </w:rPr>
        <w:t xml:space="preserve"> </w:t>
      </w:r>
    </w:p>
    <w:p>
      <w:pPr>
        <w:spacing w:line="360" w:lineRule="auto"/>
        <w:ind w:right="480" w:firstLine="105" w:firstLineChars="50"/>
        <w:jc w:val="right"/>
        <w:rPr>
          <w:rFonts w:ascii="宋体" w:hAnsi="宋体"/>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投标人：（</w:t>
      </w:r>
      <w:r>
        <w:rPr>
          <w:rFonts w:hint="eastAsia" w:ascii="宋体" w:hAnsi="宋体"/>
          <w:color w:val="000000" w:themeColor="text1"/>
          <w:kern w:val="0"/>
          <w:highlight w:val="none"/>
          <w14:textFill>
            <w14:solidFill>
              <w14:schemeClr w14:val="tx1"/>
            </w14:solidFill>
          </w14:textFill>
        </w:rPr>
        <w:t>企业电子签章</w:t>
      </w:r>
      <w:r>
        <w:rPr>
          <w:rFonts w:hint="eastAsia" w:ascii="宋体" w:hAnsi="宋体" w:cs="楷体_GB2312"/>
          <w:color w:val="000000" w:themeColor="text1"/>
          <w:highlight w:val="none"/>
          <w14:textFill>
            <w14:solidFill>
              <w14:schemeClr w14:val="tx1"/>
            </w14:solidFill>
          </w14:textFill>
        </w:rPr>
        <w:t>）</w:t>
      </w:r>
    </w:p>
    <w:p>
      <w:pPr>
        <w:spacing w:line="360" w:lineRule="auto"/>
        <w:ind w:right="480"/>
        <w:jc w:val="right"/>
        <w:rPr>
          <w:rFonts w:ascii="宋体" w:hAnsi="宋体"/>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法定代表人或其委托代理人：（</w:t>
      </w:r>
      <w:r>
        <w:rPr>
          <w:rFonts w:hint="eastAsia" w:ascii="宋体" w:hAnsi="宋体" w:cs="仿宋_GB2312"/>
          <w:color w:val="000000" w:themeColor="text1"/>
          <w:kern w:val="0"/>
          <w:highlight w:val="none"/>
          <w14:textFill>
            <w14:solidFill>
              <w14:schemeClr w14:val="tx1"/>
            </w14:solidFill>
          </w14:textFill>
        </w:rPr>
        <w:t>签字或</w:t>
      </w:r>
      <w:r>
        <w:rPr>
          <w:rFonts w:hint="eastAsia" w:ascii="宋体" w:hAnsi="宋体"/>
          <w:color w:val="000000" w:themeColor="text1"/>
          <w:kern w:val="0"/>
          <w:highlight w:val="none"/>
          <w14:textFill>
            <w14:solidFill>
              <w14:schemeClr w14:val="tx1"/>
            </w14:solidFill>
          </w14:textFill>
        </w:rPr>
        <w:t>盖电子签章</w:t>
      </w:r>
      <w:r>
        <w:rPr>
          <w:rFonts w:hint="eastAsia" w:ascii="宋体" w:hAnsi="宋体" w:cs="楷体_GB2312"/>
          <w:color w:val="000000" w:themeColor="text1"/>
          <w:highlight w:val="none"/>
          <w14:textFill>
            <w14:solidFill>
              <w14:schemeClr w14:val="tx1"/>
            </w14:solidFill>
          </w14:textFill>
        </w:rPr>
        <w:t>）</w:t>
      </w:r>
    </w:p>
    <w:p>
      <w:pPr>
        <w:autoSpaceDE w:val="0"/>
        <w:autoSpaceDN w:val="0"/>
        <w:adjustRightInd w:val="0"/>
        <w:spacing w:line="360" w:lineRule="auto"/>
        <w:ind w:firstLine="4914" w:firstLineChars="2340"/>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年月日</w:t>
      </w:r>
    </w:p>
    <w:p>
      <w:pPr>
        <w:autoSpaceDE w:val="0"/>
        <w:autoSpaceDN w:val="0"/>
        <w:adjustRightInd w:val="0"/>
        <w:spacing w:line="360" w:lineRule="auto"/>
        <w:jc w:val="left"/>
        <w:rPr>
          <w:rFonts w:ascii="宋体" w:hAnsi="宋体" w:cs="TimesNewRomanPSMT"/>
          <w:color w:val="000000" w:themeColor="text1"/>
          <w:kern w:val="0"/>
          <w:sz w:val="28"/>
          <w:szCs w:val="28"/>
          <w:highlight w:val="none"/>
          <w14:textFill>
            <w14:solidFill>
              <w14:schemeClr w14:val="tx1"/>
            </w14:solidFill>
          </w14:textFill>
        </w:rPr>
      </w:pPr>
      <w:r>
        <w:rPr>
          <w:rFonts w:hint="eastAsia" w:ascii="宋体" w:hAnsi="宋体" w:cs="TimesNewRomanPSMT"/>
          <w:color w:val="000000" w:themeColor="text1"/>
          <w:kern w:val="0"/>
          <w:sz w:val="28"/>
          <w:szCs w:val="28"/>
          <w:highlight w:val="none"/>
          <w14:textFill>
            <w14:solidFill>
              <w14:schemeClr w14:val="tx1"/>
            </w14:solidFill>
          </w14:textFill>
        </w:rPr>
        <w:t xml:space="preserve"> </w:t>
      </w:r>
    </w:p>
    <w:p>
      <w:pPr>
        <w:spacing w:line="360" w:lineRule="auto"/>
        <w:rPr>
          <w:rFonts w:ascii="楷体_GB2312" w:hAnsi="宋体" w:eastAsia="楷体_GB2312"/>
          <w:color w:val="000000" w:themeColor="text1"/>
          <w:szCs w:val="21"/>
          <w:highlight w:val="none"/>
          <w14:textFill>
            <w14:solidFill>
              <w14:schemeClr w14:val="tx1"/>
            </w14:solidFill>
          </w14:textFill>
        </w:rPr>
      </w:pPr>
      <w:r>
        <w:rPr>
          <w:rFonts w:hint="eastAsia" w:ascii="楷体_GB2312" w:hAnsi="宋体" w:eastAsia="楷体_GB2312"/>
          <w:color w:val="000000" w:themeColor="text1"/>
          <w:highlight w:val="none"/>
          <w14:textFill>
            <w14:solidFill>
              <w14:schemeClr w14:val="tx1"/>
            </w14:solidFill>
          </w14:textFill>
        </w:rPr>
        <w:t xml:space="preserve"> </w:t>
      </w:r>
    </w:p>
    <w:p>
      <w:pPr>
        <w:spacing w:line="360" w:lineRule="auto"/>
        <w:ind w:left="420"/>
        <w:jc w:val="center"/>
        <w:rPr>
          <w:rFonts w:ascii="楷体_GB2312" w:hAnsi="宋体" w:eastAsia="楷体_GB2312"/>
          <w:color w:val="000000" w:themeColor="text1"/>
          <w:sz w:val="28"/>
          <w:szCs w:val="28"/>
          <w:highlight w:val="none"/>
          <w14:textFill>
            <w14:solidFill>
              <w14:schemeClr w14:val="tx1"/>
            </w14:solidFill>
          </w14:textFill>
        </w:rPr>
      </w:pPr>
      <w:r>
        <w:rPr>
          <w:rFonts w:hint="eastAsia" w:ascii="楷体_GB2312" w:hAnsi="宋体" w:eastAsia="楷体_GB2312"/>
          <w:color w:val="000000" w:themeColor="text1"/>
          <w:sz w:val="28"/>
          <w:szCs w:val="28"/>
          <w:highlight w:val="none"/>
          <w14:textFill>
            <w14:solidFill>
              <w14:schemeClr w14:val="tx1"/>
            </w14:solidFill>
          </w14:textFill>
        </w:rPr>
        <w:t xml:space="preserve"> </w:t>
      </w:r>
    </w:p>
    <w:p>
      <w:pPr>
        <w:spacing w:line="360" w:lineRule="auto"/>
        <w:rPr>
          <w:rFonts w:ascii="楷体_GB2312" w:hAnsi="宋体" w:eastAsia="楷体_GB2312"/>
          <w:color w:val="000000" w:themeColor="text1"/>
          <w:szCs w:val="21"/>
          <w:highlight w:val="none"/>
          <w14:textFill>
            <w14:solidFill>
              <w14:schemeClr w14:val="tx1"/>
            </w14:solidFill>
          </w14:textFill>
        </w:rPr>
      </w:pPr>
      <w:r>
        <w:rPr>
          <w:rFonts w:hint="eastAsia" w:ascii="楷体_GB2312" w:hAnsi="宋体" w:eastAsia="楷体_GB2312"/>
          <w:color w:val="000000" w:themeColor="text1"/>
          <w:highlight w:val="none"/>
          <w14:textFill>
            <w14:solidFill>
              <w14:schemeClr w14:val="tx1"/>
            </w14:solidFill>
          </w14:textFill>
        </w:rPr>
        <w:t xml:space="preserve"> </w:t>
      </w:r>
    </w:p>
    <w:p>
      <w:pPr>
        <w:spacing w:line="360" w:lineRule="auto"/>
        <w:ind w:left="420"/>
        <w:jc w:val="center"/>
        <w:rPr>
          <w:rFonts w:ascii="楷体_GB2312" w:hAnsi="宋体" w:eastAsia="楷体_GB2312"/>
          <w:color w:val="000000" w:themeColor="text1"/>
          <w:sz w:val="28"/>
          <w:szCs w:val="28"/>
          <w:highlight w:val="none"/>
          <w14:textFill>
            <w14:solidFill>
              <w14:schemeClr w14:val="tx1"/>
            </w14:solidFill>
          </w14:textFill>
        </w:rPr>
      </w:pPr>
      <w:r>
        <w:rPr>
          <w:rFonts w:hint="eastAsia" w:ascii="楷体_GB2312" w:hAnsi="宋体" w:eastAsia="楷体_GB2312"/>
          <w:color w:val="000000" w:themeColor="text1"/>
          <w:sz w:val="28"/>
          <w:szCs w:val="28"/>
          <w:highlight w:val="none"/>
          <w14:textFill>
            <w14:solidFill>
              <w14:schemeClr w14:val="tx1"/>
            </w14:solidFill>
          </w14:textFill>
        </w:rPr>
        <w:t xml:space="preserve"> </w:t>
      </w:r>
    </w:p>
    <w:p>
      <w:pPr>
        <w:widowControl/>
        <w:spacing w:line="360" w:lineRule="auto"/>
        <w:jc w:val="left"/>
        <w:rPr>
          <w:rFonts w:ascii="宋体"/>
          <w:b/>
          <w:bCs/>
          <w:color w:val="000000" w:themeColor="text1"/>
          <w:sz w:val="28"/>
          <w:szCs w:val="28"/>
          <w:highlight w:val="none"/>
          <w14:textFill>
            <w14:solidFill>
              <w14:schemeClr w14:val="tx1"/>
            </w14:solidFill>
          </w14:textFill>
        </w:rPr>
        <w:sectPr>
          <w:pgSz w:w="11906" w:h="16838"/>
          <w:pgMar w:top="1418" w:right="1134" w:bottom="1134" w:left="1134" w:header="720" w:footer="720" w:gutter="0"/>
          <w:cols w:space="720" w:num="1"/>
          <w:docGrid w:type="lines" w:linePitch="321" w:charSpace="0"/>
        </w:sectPr>
      </w:pPr>
    </w:p>
    <w:p>
      <w:pPr>
        <w:keepNext/>
        <w:keepLines/>
        <w:autoSpaceDE w:val="0"/>
        <w:autoSpaceDN w:val="0"/>
        <w:spacing w:before="260" w:after="260" w:line="360" w:lineRule="auto"/>
        <w:jc w:val="center"/>
        <w:rPr>
          <w:rFonts w:ascii="宋体"/>
          <w:b/>
          <w:bCs/>
          <w:color w:val="000000" w:themeColor="text1"/>
          <w:sz w:val="28"/>
          <w:szCs w:val="28"/>
          <w:highlight w:val="none"/>
          <w14:textFill>
            <w14:solidFill>
              <w14:schemeClr w14:val="tx1"/>
            </w14:solidFill>
          </w14:textFill>
        </w:rPr>
      </w:pPr>
      <w:r>
        <w:rPr>
          <w:rFonts w:hint="eastAsia" w:ascii="宋体" w:hAnsi="宋体"/>
          <w:b/>
          <w:bCs/>
          <w:color w:val="000000" w:themeColor="text1"/>
          <w:sz w:val="28"/>
          <w:szCs w:val="28"/>
          <w:highlight w:val="none"/>
          <w14:textFill>
            <w14:solidFill>
              <w14:schemeClr w14:val="tx1"/>
            </w14:solidFill>
          </w14:textFill>
        </w:rPr>
        <w:t>五、报价明细表</w:t>
      </w:r>
    </w:p>
    <w:tbl>
      <w:tblPr>
        <w:tblStyle w:val="13"/>
        <w:tblW w:w="9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1260"/>
        <w:gridCol w:w="1440"/>
        <w:gridCol w:w="918"/>
        <w:gridCol w:w="1128"/>
        <w:gridCol w:w="1578"/>
        <w:gridCol w:w="1827"/>
        <w:gridCol w:w="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6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序号</w:t>
            </w:r>
          </w:p>
        </w:tc>
        <w:tc>
          <w:tcPr>
            <w:tcW w:w="126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名称</w:t>
            </w:r>
          </w:p>
        </w:tc>
        <w:tc>
          <w:tcPr>
            <w:tcW w:w="144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规格型号</w:t>
            </w:r>
          </w:p>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或参数</w:t>
            </w:r>
          </w:p>
        </w:tc>
        <w:tc>
          <w:tcPr>
            <w:tcW w:w="918"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单位</w:t>
            </w:r>
          </w:p>
        </w:tc>
        <w:tc>
          <w:tcPr>
            <w:tcW w:w="1128"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数量</w:t>
            </w:r>
          </w:p>
        </w:tc>
        <w:tc>
          <w:tcPr>
            <w:tcW w:w="1578"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单价</w:t>
            </w:r>
          </w:p>
        </w:tc>
        <w:tc>
          <w:tcPr>
            <w:tcW w:w="1827"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小计</w:t>
            </w:r>
          </w:p>
        </w:tc>
        <w:tc>
          <w:tcPr>
            <w:tcW w:w="687"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p>
        </w:tc>
        <w:tc>
          <w:tcPr>
            <w:tcW w:w="144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p>
        </w:tc>
        <w:tc>
          <w:tcPr>
            <w:tcW w:w="918"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p>
        </w:tc>
        <w:tc>
          <w:tcPr>
            <w:tcW w:w="1128"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p>
        </w:tc>
        <w:tc>
          <w:tcPr>
            <w:tcW w:w="1578"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p>
        </w:tc>
        <w:tc>
          <w:tcPr>
            <w:tcW w:w="1827"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p>
        </w:tc>
        <w:tc>
          <w:tcPr>
            <w:tcW w:w="687"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2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44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91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12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57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82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68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2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44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91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12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57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82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68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2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44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91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12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57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82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68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2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44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91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12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57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82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68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2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44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91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12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57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82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68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2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440"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91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12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578"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182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c>
          <w:tcPr>
            <w:tcW w:w="687" w:type="dxa"/>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44"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ind w:right="420"/>
              <w:jc w:val="righ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合计：</w:t>
            </w:r>
          </w:p>
        </w:tc>
        <w:tc>
          <w:tcPr>
            <w:tcW w:w="2514" w:type="dxa"/>
            <w:gridSpan w:val="2"/>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szCs w:val="21"/>
                <w:highlight w:val="none"/>
                <w14:textFill>
                  <w14:solidFill>
                    <w14:schemeClr w14:val="tx1"/>
                  </w14:solidFill>
                </w14:textFill>
              </w:rPr>
            </w:pPr>
          </w:p>
        </w:tc>
      </w:tr>
    </w:tbl>
    <w:p>
      <w:pPr>
        <w:spacing w:line="360" w:lineRule="auto"/>
        <w:jc w:val="left"/>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注：1、表中总报价包含产品的采购、安装调试以及相关的技术服务和各项税费等全部费用。</w:t>
      </w:r>
    </w:p>
    <w:p>
      <w:pPr>
        <w:spacing w:line="360" w:lineRule="auto"/>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2、所有价格以人民币表示；</w:t>
      </w:r>
    </w:p>
    <w:p>
      <w:pPr>
        <w:spacing w:line="360" w:lineRule="auto"/>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3.若总价与单价不符，以单价为准；</w:t>
      </w:r>
    </w:p>
    <w:p>
      <w:pPr>
        <w:spacing w:line="360" w:lineRule="auto"/>
        <w:ind w:firstLine="420" w:firstLineChars="200"/>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3.本页总合计与投标函、投标函附录中的投标报价应一致，若因不一致所造成的后果由投标人负责。</w:t>
      </w:r>
    </w:p>
    <w:p>
      <w:pPr>
        <w:pStyle w:val="2"/>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4、表格不足时投标人可根据需要另行自行修改或添加.</w:t>
      </w:r>
    </w:p>
    <w:p>
      <w:pPr>
        <w:spacing w:line="360" w:lineRule="auto"/>
        <w:jc w:val="left"/>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ind w:firstLine="4620" w:firstLineChars="2200"/>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投标人：（</w:t>
      </w:r>
      <w:r>
        <w:rPr>
          <w:rFonts w:hint="eastAsia" w:ascii="宋体" w:hAnsi="宋体"/>
          <w:color w:val="000000" w:themeColor="text1"/>
          <w:kern w:val="0"/>
          <w:highlight w:val="none"/>
          <w14:textFill>
            <w14:solidFill>
              <w14:schemeClr w14:val="tx1"/>
            </w14:solidFill>
          </w14:textFill>
        </w:rPr>
        <w:t>企业电子签章</w:t>
      </w:r>
      <w:r>
        <w:rPr>
          <w:rFonts w:hint="eastAsia" w:ascii="宋体" w:hAnsi="宋体" w:cs="楷体_GB2312"/>
          <w:color w:val="000000" w:themeColor="text1"/>
          <w:highlight w:val="none"/>
          <w14:textFill>
            <w14:solidFill>
              <w14:schemeClr w14:val="tx1"/>
            </w14:solidFill>
          </w14:textFill>
        </w:rPr>
        <w:t>）</w:t>
      </w:r>
    </w:p>
    <w:p>
      <w:pPr>
        <w:spacing w:line="360" w:lineRule="auto"/>
        <w:jc w:val="righ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法定代表人或其委托代理人：（</w:t>
      </w:r>
      <w:r>
        <w:rPr>
          <w:rFonts w:hint="eastAsia" w:ascii="宋体" w:hAnsi="宋体" w:cs="仿宋_GB2312"/>
          <w:color w:val="000000" w:themeColor="text1"/>
          <w:kern w:val="0"/>
          <w:highlight w:val="none"/>
          <w14:textFill>
            <w14:solidFill>
              <w14:schemeClr w14:val="tx1"/>
            </w14:solidFill>
          </w14:textFill>
        </w:rPr>
        <w:t>签字或</w:t>
      </w:r>
      <w:r>
        <w:rPr>
          <w:rFonts w:hint="eastAsia" w:ascii="宋体" w:hAnsi="宋体"/>
          <w:color w:val="000000" w:themeColor="text1"/>
          <w:kern w:val="0"/>
          <w:highlight w:val="none"/>
          <w14:textFill>
            <w14:solidFill>
              <w14:schemeClr w14:val="tx1"/>
            </w14:solidFill>
          </w14:textFill>
        </w:rPr>
        <w:t>盖电子签章</w:t>
      </w:r>
      <w:r>
        <w:rPr>
          <w:rFonts w:hint="eastAsia" w:ascii="宋体" w:hAnsi="宋体" w:cs="楷体_GB2312"/>
          <w:color w:val="000000" w:themeColor="text1"/>
          <w:highlight w:val="none"/>
          <w14:textFill>
            <w14:solidFill>
              <w14:schemeClr w14:val="tx1"/>
            </w14:solidFill>
          </w14:textFill>
        </w:rPr>
        <w:t>）</w:t>
      </w:r>
    </w:p>
    <w:p>
      <w:pPr>
        <w:autoSpaceDE w:val="0"/>
        <w:autoSpaceDN w:val="0"/>
        <w:adjustRightInd w:val="0"/>
        <w:spacing w:line="360" w:lineRule="auto"/>
        <w:ind w:firstLine="4918" w:firstLineChars="2342"/>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年月日</w:t>
      </w:r>
    </w:p>
    <w:p>
      <w:pPr>
        <w:autoSpaceDE w:val="0"/>
        <w:autoSpaceDN w:val="0"/>
        <w:adjustRightInd w:val="0"/>
        <w:spacing w:line="360" w:lineRule="auto"/>
        <w:jc w:val="left"/>
        <w:rPr>
          <w:rFonts w:ascii="宋体" w:hAnsi="宋体" w:cs="TimesNewRomanPSMT"/>
          <w:color w:val="000000" w:themeColor="text1"/>
          <w:kern w:val="0"/>
          <w:sz w:val="28"/>
          <w:szCs w:val="28"/>
          <w:highlight w:val="none"/>
          <w14:textFill>
            <w14:solidFill>
              <w14:schemeClr w14:val="tx1"/>
            </w14:solidFill>
          </w14:textFill>
        </w:rPr>
      </w:pPr>
      <w:r>
        <w:rPr>
          <w:rFonts w:hint="eastAsia" w:ascii="宋体" w:hAnsi="宋体" w:cs="TimesNewRomanPSMT"/>
          <w:color w:val="000000" w:themeColor="text1"/>
          <w:kern w:val="0"/>
          <w:sz w:val="28"/>
          <w:szCs w:val="28"/>
          <w:highlight w:val="none"/>
          <w14:textFill>
            <w14:solidFill>
              <w14:schemeClr w14:val="tx1"/>
            </w14:solidFill>
          </w14:textFill>
        </w:rPr>
        <w:t xml:space="preserve"> </w:t>
      </w:r>
    </w:p>
    <w:p>
      <w:pPr>
        <w:spacing w:line="360" w:lineRule="auto"/>
        <w:jc w:val="left"/>
        <w:rPr>
          <w:rFonts w:ascii="宋体" w:hAnsi="宋体" w:cs="楷体_GB2312"/>
          <w:color w:val="000000" w:themeColor="text1"/>
          <w:sz w:val="24"/>
          <w:highlight w:val="none"/>
          <w14:textFill>
            <w14:solidFill>
              <w14:schemeClr w14:val="tx1"/>
            </w14:solidFill>
          </w14:textFill>
        </w:rPr>
      </w:pPr>
      <w:r>
        <w:rPr>
          <w:rFonts w:hint="eastAsia" w:ascii="宋体" w:hAnsi="宋体" w:cs="楷体_GB2312"/>
          <w:color w:val="000000" w:themeColor="text1"/>
          <w:sz w:val="24"/>
          <w:highlight w:val="none"/>
          <w14:textFill>
            <w14:solidFill>
              <w14:schemeClr w14:val="tx1"/>
            </w14:solidFill>
          </w14:textFill>
        </w:rPr>
        <w:t xml:space="preserve"> </w:t>
      </w:r>
    </w:p>
    <w:p>
      <w:pPr>
        <w:keepNext/>
        <w:keepLines/>
        <w:numPr>
          <w:ilvl w:val="0"/>
          <w:numId w:val="9"/>
        </w:numPr>
        <w:autoSpaceDE w:val="0"/>
        <w:autoSpaceDN w:val="0"/>
        <w:spacing w:before="260" w:after="260" w:line="360" w:lineRule="auto"/>
        <w:jc w:val="center"/>
        <w:rPr>
          <w:rFonts w:hint="eastAsia" w:ascii="宋体" w:hAnsi="宋体"/>
          <w:b/>
          <w:bCs/>
          <w:color w:val="000000" w:themeColor="text1"/>
          <w:sz w:val="28"/>
          <w:szCs w:val="28"/>
          <w:highlight w:val="none"/>
          <w14:textFill>
            <w14:solidFill>
              <w14:schemeClr w14:val="tx1"/>
            </w14:solidFill>
          </w14:textFill>
        </w:rPr>
      </w:pPr>
      <w:r>
        <w:rPr>
          <w:rFonts w:hint="eastAsia" w:ascii="宋体" w:hAnsi="宋体"/>
          <w:b/>
          <w:bCs/>
          <w:color w:val="000000" w:themeColor="text1"/>
          <w:sz w:val="28"/>
          <w:szCs w:val="28"/>
          <w:highlight w:val="none"/>
          <w14:textFill>
            <w14:solidFill>
              <w14:schemeClr w14:val="tx1"/>
            </w14:solidFill>
          </w14:textFill>
        </w:rPr>
        <w:t>技术偏差表</w:t>
      </w:r>
    </w:p>
    <w:p>
      <w:pPr>
        <w:pStyle w:val="2"/>
        <w:numPr>
          <w:ilvl w:val="0"/>
          <w:numId w:val="0"/>
        </w:numPr>
      </w:pPr>
      <w:r>
        <w:rPr>
          <w:rFonts w:hint="eastAsia" w:ascii="宋体" w:hAnsi="宋体" w:cs="楷体_GB2312"/>
          <w:color w:val="000000" w:themeColor="text1"/>
          <w:highlight w:val="none"/>
          <w14:textFill>
            <w14:solidFill>
              <w14:schemeClr w14:val="tx1"/>
            </w14:solidFill>
          </w14:textFill>
        </w:rPr>
        <w:t xml:space="preserve">项目名称：                                          项目编号：    </w:t>
      </w:r>
    </w:p>
    <w:tbl>
      <w:tblPr>
        <w:tblStyle w:val="13"/>
        <w:tblW w:w="10175"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75"/>
        <w:gridCol w:w="1420"/>
        <w:gridCol w:w="1628"/>
        <w:gridCol w:w="1838"/>
        <w:gridCol w:w="1961"/>
        <w:gridCol w:w="1228"/>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28" w:hRule="atLeast"/>
        </w:trPr>
        <w:tc>
          <w:tcPr>
            <w:tcW w:w="875"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序号</w:t>
            </w:r>
          </w:p>
        </w:tc>
        <w:tc>
          <w:tcPr>
            <w:tcW w:w="1420"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货物名称</w:t>
            </w:r>
          </w:p>
        </w:tc>
        <w:tc>
          <w:tcPr>
            <w:tcW w:w="1628"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生产厂家/产地/品牌</w:t>
            </w:r>
          </w:p>
        </w:tc>
        <w:tc>
          <w:tcPr>
            <w:tcW w:w="1838"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采购文件要求技术参数、规格要求</w:t>
            </w:r>
          </w:p>
        </w:tc>
        <w:tc>
          <w:tcPr>
            <w:tcW w:w="1961"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投标文件参数规格</w:t>
            </w:r>
          </w:p>
        </w:tc>
        <w:tc>
          <w:tcPr>
            <w:tcW w:w="1228"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偏差说明</w:t>
            </w:r>
          </w:p>
        </w:tc>
        <w:tc>
          <w:tcPr>
            <w:tcW w:w="1225"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80" w:hRule="atLeast"/>
        </w:trPr>
        <w:tc>
          <w:tcPr>
            <w:tcW w:w="87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r>
              <w:rPr>
                <w:rFonts w:hint="eastAsia" w:ascii="楷体_GB2312" w:hAnsi="宋体" w:eastAsia="楷体_GB2312"/>
                <w:color w:val="000000" w:themeColor="text1"/>
                <w:highlight w:val="none"/>
                <w14:textFill>
                  <w14:solidFill>
                    <w14:schemeClr w14:val="tx1"/>
                  </w14:solidFill>
                </w14:textFill>
              </w:rPr>
              <w:t>1</w:t>
            </w:r>
          </w:p>
        </w:tc>
        <w:tc>
          <w:tcPr>
            <w:tcW w:w="1420"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62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83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961"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22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225"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80" w:hRule="atLeast"/>
        </w:trPr>
        <w:tc>
          <w:tcPr>
            <w:tcW w:w="87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r>
              <w:rPr>
                <w:rFonts w:hint="eastAsia" w:ascii="楷体_GB2312" w:hAnsi="宋体" w:eastAsia="楷体_GB2312"/>
                <w:color w:val="000000" w:themeColor="text1"/>
                <w:highlight w:val="none"/>
                <w14:textFill>
                  <w14:solidFill>
                    <w14:schemeClr w14:val="tx1"/>
                  </w14:solidFill>
                </w14:textFill>
              </w:rPr>
              <w:t>2</w:t>
            </w:r>
          </w:p>
        </w:tc>
        <w:tc>
          <w:tcPr>
            <w:tcW w:w="1420"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62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83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961"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22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225"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80" w:hRule="atLeast"/>
        </w:trPr>
        <w:tc>
          <w:tcPr>
            <w:tcW w:w="87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r>
              <w:rPr>
                <w:rFonts w:hint="eastAsia" w:ascii="楷体_GB2312" w:hAnsi="宋体" w:eastAsia="楷体_GB2312"/>
                <w:color w:val="000000" w:themeColor="text1"/>
                <w:highlight w:val="none"/>
                <w14:textFill>
                  <w14:solidFill>
                    <w14:schemeClr w14:val="tx1"/>
                  </w14:solidFill>
                </w14:textFill>
              </w:rPr>
              <w:t>3</w:t>
            </w:r>
          </w:p>
        </w:tc>
        <w:tc>
          <w:tcPr>
            <w:tcW w:w="1420"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62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83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961"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22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225"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24" w:hRule="atLeast"/>
        </w:trPr>
        <w:tc>
          <w:tcPr>
            <w:tcW w:w="87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r>
              <w:rPr>
                <w:rFonts w:hint="eastAsia" w:ascii="楷体_GB2312" w:hAnsi="宋体" w:eastAsia="楷体_GB2312"/>
                <w:color w:val="000000" w:themeColor="text1"/>
                <w:highlight w:val="none"/>
                <w14:textFill>
                  <w14:solidFill>
                    <w14:schemeClr w14:val="tx1"/>
                  </w14:solidFill>
                </w14:textFill>
              </w:rPr>
              <w:t>4</w:t>
            </w:r>
          </w:p>
        </w:tc>
        <w:tc>
          <w:tcPr>
            <w:tcW w:w="1420"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62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83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961"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228"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c>
          <w:tcPr>
            <w:tcW w:w="1225" w:type="dxa"/>
            <w:tcBorders>
              <w:top w:val="single" w:color="auto" w:sz="4" w:space="0"/>
              <w:left w:val="nil"/>
              <w:bottom w:val="single" w:color="auto" w:sz="4" w:space="0"/>
              <w:right w:val="single" w:color="auto" w:sz="4" w:space="0"/>
            </w:tcBorders>
          </w:tcPr>
          <w:p>
            <w:pPr>
              <w:autoSpaceDE w:val="0"/>
              <w:autoSpaceDN w:val="0"/>
              <w:spacing w:line="360" w:lineRule="auto"/>
              <w:rPr>
                <w:rFonts w:ascii="楷体_GB2312" w:hAnsi="宋体" w:eastAsia="楷体_GB2312"/>
                <w:color w:val="000000" w:themeColor="text1"/>
                <w:szCs w:val="21"/>
                <w:highlight w:val="none"/>
                <w14:textFill>
                  <w14:solidFill>
                    <w14:schemeClr w14:val="tx1"/>
                  </w14:solidFill>
                </w14:textFill>
              </w:rPr>
            </w:pPr>
          </w:p>
        </w:tc>
      </w:tr>
    </w:tbl>
    <w:p>
      <w:pPr>
        <w:spacing w:line="360" w:lineRule="auto"/>
        <w:jc w:val="center"/>
        <w:rPr>
          <w:rFonts w:ascii="宋体" w:hAnsi="宋体" w:cs="楷体_GB2312"/>
          <w:color w:val="000000" w:themeColor="text1"/>
          <w:szCs w:val="2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napToGrid w:val="0"/>
        <w:spacing w:line="360" w:lineRule="auto"/>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jc w:val="lef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注：1、“偏差说明”栏中详细注明所投设备参数与采购文件要求有何不同，并说明其符合性。</w:t>
      </w:r>
    </w:p>
    <w:p>
      <w:pPr>
        <w:spacing w:line="360" w:lineRule="auto"/>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2、投标货物存在偏差的必须如实填写本表，否则可能导致投标被废标的可能；</w:t>
      </w:r>
    </w:p>
    <w:p>
      <w:pPr>
        <w:spacing w:line="360" w:lineRule="auto"/>
        <w:ind w:firstLine="420" w:firstLineChars="200"/>
        <w:jc w:val="left"/>
        <w:rPr>
          <w:rFonts w:ascii="宋体" w:hAnsi="宋体" w:cs="楷体_GB2312"/>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3、表格不足时投标人可根据需要另行自行修改或添加.</w:t>
      </w:r>
    </w:p>
    <w:p>
      <w:pPr>
        <w:spacing w:line="360" w:lineRule="auto"/>
        <w:jc w:val="center"/>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jc w:val="center"/>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jc w:val="center"/>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ind w:right="480" w:firstLine="4830" w:firstLineChars="2300"/>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投标人：   （</w:t>
      </w:r>
      <w:r>
        <w:rPr>
          <w:rFonts w:hint="eastAsia" w:ascii="宋体" w:hAnsi="宋体"/>
          <w:color w:val="000000" w:themeColor="text1"/>
          <w:kern w:val="0"/>
          <w:highlight w:val="none"/>
          <w14:textFill>
            <w14:solidFill>
              <w14:schemeClr w14:val="tx1"/>
            </w14:solidFill>
          </w14:textFill>
        </w:rPr>
        <w:t>企业电子签章</w:t>
      </w:r>
      <w:r>
        <w:rPr>
          <w:rFonts w:hint="eastAsia" w:ascii="宋体" w:hAnsi="宋体" w:cs="楷体_GB2312"/>
          <w:color w:val="000000" w:themeColor="text1"/>
          <w:highlight w:val="none"/>
          <w14:textFill>
            <w14:solidFill>
              <w14:schemeClr w14:val="tx1"/>
            </w14:solidFill>
          </w14:textFill>
        </w:rPr>
        <w:t>）</w:t>
      </w:r>
    </w:p>
    <w:p>
      <w:pPr>
        <w:spacing w:line="360" w:lineRule="auto"/>
        <w:ind w:right="480"/>
        <w:jc w:val="righ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 xml:space="preserve"> </w:t>
      </w:r>
    </w:p>
    <w:p>
      <w:pPr>
        <w:spacing w:line="360" w:lineRule="auto"/>
        <w:ind w:right="480"/>
        <w:jc w:val="right"/>
        <w:rPr>
          <w:rFonts w:ascii="宋体" w:hAnsi="宋体" w:cs="楷体_GB2312"/>
          <w:color w:val="000000" w:themeColor="text1"/>
          <w:highlight w:val="none"/>
          <w14:textFill>
            <w14:solidFill>
              <w14:schemeClr w14:val="tx1"/>
            </w14:solidFill>
          </w14:textFill>
        </w:rPr>
      </w:pPr>
      <w:r>
        <w:rPr>
          <w:rFonts w:hint="eastAsia" w:ascii="宋体" w:hAnsi="宋体" w:cs="楷体_GB2312"/>
          <w:color w:val="000000" w:themeColor="text1"/>
          <w:highlight w:val="none"/>
          <w14:textFill>
            <w14:solidFill>
              <w14:schemeClr w14:val="tx1"/>
            </w14:solidFill>
          </w14:textFill>
        </w:rPr>
        <w:t>法定代表人或委托代理人：(</w:t>
      </w:r>
      <w:r>
        <w:rPr>
          <w:rFonts w:hint="eastAsia" w:ascii="宋体" w:hAnsi="宋体" w:cs="仿宋_GB2312"/>
          <w:color w:val="000000" w:themeColor="text1"/>
          <w:kern w:val="0"/>
          <w:highlight w:val="none"/>
          <w14:textFill>
            <w14:solidFill>
              <w14:schemeClr w14:val="tx1"/>
            </w14:solidFill>
          </w14:textFill>
        </w:rPr>
        <w:t>签字或</w:t>
      </w:r>
      <w:r>
        <w:rPr>
          <w:rFonts w:hint="eastAsia" w:ascii="宋体" w:hAnsi="宋体"/>
          <w:color w:val="000000" w:themeColor="text1"/>
          <w:kern w:val="0"/>
          <w:highlight w:val="none"/>
          <w14:textFill>
            <w14:solidFill>
              <w14:schemeClr w14:val="tx1"/>
            </w14:solidFill>
          </w14:textFill>
        </w:rPr>
        <w:t>盖电子签章</w:t>
      </w:r>
      <w:r>
        <w:rPr>
          <w:rFonts w:hint="eastAsia" w:ascii="宋体" w:hAnsi="宋体" w:cs="楷体_GB2312"/>
          <w:color w:val="000000" w:themeColor="text1"/>
          <w:highlight w:val="none"/>
          <w14:textFill>
            <w14:solidFill>
              <w14:schemeClr w14:val="tx1"/>
            </w14:solidFill>
          </w14:textFill>
        </w:rPr>
        <w:t xml:space="preserve">)      </w:t>
      </w:r>
    </w:p>
    <w:p>
      <w:pPr>
        <w:autoSpaceDE w:val="0"/>
        <w:autoSpaceDN w:val="0"/>
        <w:adjustRightInd w:val="0"/>
        <w:spacing w:line="360" w:lineRule="auto"/>
        <w:ind w:firstLine="5233" w:firstLineChars="2492"/>
        <w:jc w:val="left"/>
        <w:rPr>
          <w:rFonts w:ascii="宋体" w:hAnsi="宋体" w:cs="仿宋_GB2312"/>
          <w:color w:val="000000" w:themeColor="text1"/>
          <w:kern w:val="0"/>
          <w:highlight w:val="none"/>
          <w14:textFill>
            <w14:solidFill>
              <w14:schemeClr w14:val="tx1"/>
            </w14:solidFill>
          </w14:textFill>
        </w:rPr>
      </w:pPr>
      <w:r>
        <w:rPr>
          <w:rFonts w:hint="eastAsia" w:ascii="宋体" w:hAnsi="宋体" w:cs="仿宋_GB2312"/>
          <w:color w:val="000000" w:themeColor="text1"/>
          <w:kern w:val="0"/>
          <w:highlight w:val="none"/>
          <w14:textFill>
            <w14:solidFill>
              <w14:schemeClr w14:val="tx1"/>
            </w14:solidFill>
          </w14:textFill>
        </w:rPr>
        <w:t>年月日</w:t>
      </w:r>
    </w:p>
    <w:p>
      <w:pPr>
        <w:autoSpaceDE w:val="0"/>
        <w:autoSpaceDN w:val="0"/>
        <w:adjustRightInd w:val="0"/>
        <w:spacing w:line="360" w:lineRule="auto"/>
        <w:jc w:val="left"/>
        <w:rPr>
          <w:rFonts w:ascii="宋体" w:hAnsi="宋体" w:cs="TimesNewRomanPSMT"/>
          <w:color w:val="000000" w:themeColor="text1"/>
          <w:kern w:val="0"/>
          <w:highlight w:val="none"/>
          <w14:textFill>
            <w14:solidFill>
              <w14:schemeClr w14:val="tx1"/>
            </w14:solidFill>
          </w14:textFill>
        </w:rPr>
      </w:pPr>
      <w:r>
        <w:rPr>
          <w:rFonts w:hint="eastAsia" w:ascii="宋体" w:hAnsi="宋体" w:cs="TimesNewRomanPSMT"/>
          <w:color w:val="000000" w:themeColor="text1"/>
          <w:kern w:val="0"/>
          <w:highlight w:val="none"/>
          <w14:textFill>
            <w14:solidFill>
              <w14:schemeClr w14:val="tx1"/>
            </w14:solidFill>
          </w14:textFill>
        </w:rPr>
        <w:t xml:space="preserve"> </w:t>
      </w:r>
    </w:p>
    <w:p>
      <w:pPr>
        <w:spacing w:line="360" w:lineRule="auto"/>
        <w:ind w:right="480" w:firstLine="5670" w:firstLineChars="2700"/>
        <w:rPr>
          <w:rFonts w:ascii="宋体" w:hAnsi="宋体" w:cs="楷体_GB2312"/>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ab/>
      </w:r>
    </w:p>
    <w:p>
      <w:pPr>
        <w:autoSpaceDE w:val="0"/>
        <w:autoSpaceDN w:val="0"/>
        <w:spacing w:line="360" w:lineRule="auto"/>
        <w:rPr>
          <w:rFonts w:ascii="楷体_GB2312" w:hAnsi="宋体" w:eastAsia="楷体_GB2312"/>
          <w:color w:val="000000" w:themeColor="text1"/>
          <w:highlight w:val="none"/>
          <w14:textFill>
            <w14:solidFill>
              <w14:schemeClr w14:val="tx1"/>
            </w14:solidFill>
          </w14:textFill>
        </w:rPr>
      </w:pPr>
      <w:r>
        <w:rPr>
          <w:rFonts w:hint="eastAsia" w:ascii="楷体_GB2312" w:hAnsi="宋体" w:eastAsia="楷体_GB2312"/>
          <w:color w:val="000000" w:themeColor="text1"/>
          <w:highlight w:val="none"/>
          <w14:textFill>
            <w14:solidFill>
              <w14:schemeClr w14:val="tx1"/>
            </w14:solidFill>
          </w14:textFill>
        </w:rPr>
        <w:t xml:space="preserve"> </w:t>
      </w:r>
    </w:p>
    <w:p>
      <w:pPr>
        <w:autoSpaceDE w:val="0"/>
        <w:autoSpaceDN w:val="0"/>
        <w:spacing w:line="360" w:lineRule="auto"/>
        <w:rPr>
          <w:rFonts w:ascii="楷体_GB2312" w:hAnsi="宋体" w:eastAsia="楷体_GB2312"/>
          <w:color w:val="000000" w:themeColor="text1"/>
          <w:highlight w:val="none"/>
          <w14:textFill>
            <w14:solidFill>
              <w14:schemeClr w14:val="tx1"/>
            </w14:solidFill>
          </w14:textFill>
        </w:rPr>
      </w:pPr>
      <w:r>
        <w:rPr>
          <w:rFonts w:hint="eastAsia" w:ascii="楷体_GB2312" w:hAnsi="宋体" w:eastAsia="楷体_GB2312"/>
          <w:color w:val="000000" w:themeColor="text1"/>
          <w:highlight w:val="none"/>
          <w14:textFill>
            <w14:solidFill>
              <w14:schemeClr w14:val="tx1"/>
            </w14:solidFill>
          </w14:textFill>
        </w:rPr>
        <w:t xml:space="preserve"> </w:t>
      </w:r>
    </w:p>
    <w:p>
      <w:pPr>
        <w:keepNext/>
        <w:keepLines/>
        <w:autoSpaceDE w:val="0"/>
        <w:autoSpaceDN w:val="0"/>
        <w:spacing w:before="260" w:after="260" w:line="360" w:lineRule="auto"/>
        <w:jc w:val="center"/>
        <w:rPr>
          <w:rFonts w:ascii="宋体"/>
          <w:b/>
          <w:bCs/>
          <w:color w:val="000000" w:themeColor="text1"/>
          <w:sz w:val="28"/>
          <w:szCs w:val="28"/>
          <w:highlight w:val="none"/>
          <w14:textFill>
            <w14:solidFill>
              <w14:schemeClr w14:val="tx1"/>
            </w14:solidFill>
          </w14:textFill>
        </w:rPr>
      </w:pPr>
      <w:r>
        <w:rPr>
          <w:rFonts w:hint="eastAsia" w:ascii="宋体" w:hAnsi="宋体"/>
          <w:b/>
          <w:bCs/>
          <w:color w:val="000000" w:themeColor="text1"/>
          <w:sz w:val="28"/>
          <w:szCs w:val="28"/>
          <w:highlight w:val="none"/>
          <w14:textFill>
            <w14:solidFill>
              <w14:schemeClr w14:val="tx1"/>
            </w14:solidFill>
          </w14:textFill>
        </w:rPr>
        <w:t>七、无不良行为记录声明</w:t>
      </w:r>
    </w:p>
    <w:p>
      <w:pPr>
        <w:autoSpaceDE w:val="0"/>
        <w:autoSpaceDN w:val="0"/>
        <w:spacing w:line="360" w:lineRule="auto"/>
        <w:jc w:val="center"/>
        <w:rPr>
          <w:rFonts w:ascii="宋体"/>
          <w:b/>
          <w:bCs/>
          <w:color w:val="000000" w:themeColor="text1"/>
          <w:sz w:val="30"/>
          <w:szCs w:val="30"/>
          <w:highlight w:val="none"/>
          <w14:textFill>
            <w14:solidFill>
              <w14:schemeClr w14:val="tx1"/>
            </w14:solidFill>
          </w14:textFill>
        </w:rPr>
      </w:pPr>
      <w:r>
        <w:rPr>
          <w:rFonts w:hint="eastAsia" w:ascii="宋体"/>
          <w:b/>
          <w:bCs/>
          <w:color w:val="000000" w:themeColor="text1"/>
          <w:sz w:val="30"/>
          <w:szCs w:val="30"/>
          <w:highlight w:val="none"/>
          <w14:textFill>
            <w14:solidFill>
              <w14:schemeClr w14:val="tx1"/>
            </w14:solidFill>
          </w14:textFill>
        </w:rPr>
        <w:t xml:space="preserve"> </w:t>
      </w:r>
    </w:p>
    <w:p>
      <w:pPr>
        <w:autoSpaceDE w:val="0"/>
        <w:autoSpaceDN w:val="0"/>
        <w:spacing w:line="360" w:lineRule="auto"/>
        <w:ind w:firstLine="840" w:firstLineChars="400"/>
        <w:rPr>
          <w:rFonts w:asci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（招标人名称）：</w:t>
      </w:r>
    </w:p>
    <w:p>
      <w:pPr>
        <w:autoSpaceDE w:val="0"/>
        <w:autoSpaceDN w:val="0"/>
        <w:spacing w:line="360" w:lineRule="auto"/>
        <w:ind w:firstLine="464" w:firstLineChars="221"/>
        <w:rPr>
          <w:rFonts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我公司在此声明</w:t>
      </w:r>
      <w:r>
        <w:rPr>
          <w:rFonts w:hint="eastAsia" w:ascii="宋体" w:hAnsi="宋体"/>
          <w:b/>
          <w:bCs/>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最近三年政府采购活动内无出现骗取中标或严重违约或重大质量问题事件发生。如有不实，自愿放弃投标资格并愿意承担因我方就此弄虚作假所引起的一切法律后果。</w:t>
      </w:r>
    </w:p>
    <w:p>
      <w:pPr>
        <w:autoSpaceDE w:val="0"/>
        <w:autoSpaceDN w:val="0"/>
        <w:spacing w:line="360" w:lineRule="auto"/>
        <w:ind w:firstLine="480"/>
        <w:rPr>
          <w:rFonts w:ascii="宋体"/>
          <w:color w:val="000000" w:themeColor="text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 xml:space="preserve"> </w:t>
      </w:r>
    </w:p>
    <w:p>
      <w:pPr>
        <w:autoSpaceDE w:val="0"/>
        <w:autoSpaceDN w:val="0"/>
        <w:spacing w:line="360" w:lineRule="auto"/>
        <w:ind w:firstLine="480"/>
        <w:rPr>
          <w:rFonts w:ascii="宋体"/>
          <w:color w:val="000000" w:themeColor="text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 xml:space="preserve"> </w:t>
      </w:r>
    </w:p>
    <w:p>
      <w:pPr>
        <w:autoSpaceDE w:val="0"/>
        <w:autoSpaceDN w:val="0"/>
        <w:spacing w:line="360" w:lineRule="auto"/>
        <w:ind w:firstLine="480"/>
        <w:rPr>
          <w:rFonts w:ascii="宋体"/>
          <w:color w:val="000000" w:themeColor="text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 xml:space="preserve"> </w:t>
      </w:r>
    </w:p>
    <w:p>
      <w:pPr>
        <w:autoSpaceDE w:val="0"/>
        <w:autoSpaceDN w:val="0"/>
        <w:spacing w:line="360" w:lineRule="auto"/>
        <w:ind w:firstLine="480"/>
        <w:rPr>
          <w:rFonts w:ascii="宋体"/>
          <w:color w:val="000000" w:themeColor="text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 xml:space="preserve"> </w:t>
      </w:r>
    </w:p>
    <w:p>
      <w:pPr>
        <w:autoSpaceDE w:val="0"/>
        <w:autoSpaceDN w:val="0"/>
        <w:spacing w:line="360" w:lineRule="auto"/>
        <w:rPr>
          <w:rFonts w:ascii="宋体"/>
          <w:color w:val="000000" w:themeColor="text1"/>
          <w:highlight w:val="none"/>
          <w14:textFill>
            <w14:solidFill>
              <w14:schemeClr w14:val="tx1"/>
            </w14:solidFill>
          </w14:textFill>
        </w:rPr>
      </w:pPr>
      <w:r>
        <w:rPr>
          <w:rFonts w:hint="eastAsia" w:ascii="宋体"/>
          <w:color w:val="000000" w:themeColor="text1"/>
          <w:highlight w:val="none"/>
          <w14:textFill>
            <w14:solidFill>
              <w14:schemeClr w14:val="tx1"/>
            </w14:solidFill>
          </w14:textFill>
        </w:rPr>
        <w:t xml:space="preserve"> </w:t>
      </w:r>
    </w:p>
    <w:p>
      <w:pPr>
        <w:autoSpaceDE w:val="0"/>
        <w:autoSpaceDN w:val="0"/>
        <w:spacing w:line="360" w:lineRule="auto"/>
        <w:ind w:firstLine="3381" w:firstLineChars="1610"/>
        <w:rPr>
          <w:rFonts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投标人名称（</w:t>
      </w:r>
      <w:r>
        <w:rPr>
          <w:rFonts w:hint="eastAsia" w:ascii="宋体" w:hAnsi="宋体"/>
          <w:color w:val="000000" w:themeColor="text1"/>
          <w:kern w:val="0"/>
          <w:highlight w:val="none"/>
          <w14:textFill>
            <w14:solidFill>
              <w14:schemeClr w14:val="tx1"/>
            </w14:solidFill>
          </w14:textFill>
        </w:rPr>
        <w:t>企业电子签章</w:t>
      </w:r>
      <w:r>
        <w:rPr>
          <w:rFonts w:hint="eastAsia" w:ascii="宋体" w:hAnsi="宋体"/>
          <w:color w:val="000000" w:themeColor="text1"/>
          <w:highlight w:val="none"/>
          <w14:textFill>
            <w14:solidFill>
              <w14:schemeClr w14:val="tx1"/>
            </w14:solidFill>
          </w14:textFill>
        </w:rPr>
        <w:t>）：</w:t>
      </w:r>
      <w:r>
        <w:rPr>
          <w:rFonts w:hint="eastAsia" w:ascii="宋体"/>
          <w:color w:val="000000" w:themeColor="text1"/>
          <w:highlight w:val="none"/>
          <w14:textFill>
            <w14:solidFill>
              <w14:schemeClr w14:val="tx1"/>
            </w14:solidFill>
          </w14:textFill>
        </w:rPr>
        <w:t>___________________</w:t>
      </w:r>
    </w:p>
    <w:p>
      <w:pPr>
        <w:autoSpaceDE w:val="0"/>
        <w:autoSpaceDN w:val="0"/>
        <w:spacing w:line="360" w:lineRule="auto"/>
        <w:ind w:firstLine="470"/>
        <w:jc w:val="center"/>
        <w:rPr>
          <w:rFonts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法定代表人或委托代理人（</w:t>
      </w:r>
      <w:r>
        <w:rPr>
          <w:rFonts w:hint="eastAsia" w:ascii="宋体" w:hAnsi="宋体" w:cs="仿宋_GB2312"/>
          <w:color w:val="000000" w:themeColor="text1"/>
          <w:kern w:val="0"/>
          <w:highlight w:val="none"/>
          <w14:textFill>
            <w14:solidFill>
              <w14:schemeClr w14:val="tx1"/>
            </w14:solidFill>
          </w14:textFill>
        </w:rPr>
        <w:t>签字或</w:t>
      </w:r>
      <w:r>
        <w:rPr>
          <w:rFonts w:hint="eastAsia" w:ascii="宋体" w:hAnsi="宋体"/>
          <w:color w:val="000000" w:themeColor="text1"/>
          <w:kern w:val="0"/>
          <w:highlight w:val="none"/>
          <w14:textFill>
            <w14:solidFill>
              <w14:schemeClr w14:val="tx1"/>
            </w14:solidFill>
          </w14:textFill>
        </w:rPr>
        <w:t>盖电子签章</w:t>
      </w:r>
      <w:r>
        <w:rPr>
          <w:rFonts w:hint="eastAsia" w:ascii="宋体" w:hAnsi="宋体"/>
          <w:color w:val="000000" w:themeColor="text1"/>
          <w:highlight w:val="none"/>
          <w14:textFill>
            <w14:solidFill>
              <w14:schemeClr w14:val="tx1"/>
            </w14:solidFill>
          </w14:textFill>
        </w:rPr>
        <w:t>）：</w:t>
      </w:r>
      <w:r>
        <w:rPr>
          <w:rFonts w:hint="eastAsia" w:ascii="宋体"/>
          <w:color w:val="000000" w:themeColor="text1"/>
          <w:highlight w:val="none"/>
          <w14:textFill>
            <w14:solidFill>
              <w14:schemeClr w14:val="tx1"/>
            </w14:solidFill>
          </w14:textFill>
        </w:rPr>
        <w:t>______________</w:t>
      </w:r>
    </w:p>
    <w:p>
      <w:pPr>
        <w:autoSpaceDE w:val="0"/>
        <w:autoSpaceDN w:val="0"/>
        <w:spacing w:line="360" w:lineRule="auto"/>
        <w:ind w:firstLine="3465" w:firstLineChars="1650"/>
        <w:rPr>
          <w:rFonts w:asci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日期：</w:t>
      </w:r>
      <w:r>
        <w:rPr>
          <w:rFonts w:hint="eastAsia" w:ascii="宋体"/>
          <w:color w:val="000000" w:themeColor="text1"/>
          <w:highlight w:val="none"/>
          <w14:textFill>
            <w14:solidFill>
              <w14:schemeClr w14:val="tx1"/>
            </w14:solidFill>
          </w14:textFill>
        </w:rPr>
        <w:t>___________________</w:t>
      </w:r>
    </w:p>
    <w:p>
      <w:pPr>
        <w:spacing w:line="360" w:lineRule="auto"/>
        <w:jc w:val="center"/>
        <w:rPr>
          <w:rFonts w:ascii="黑体" w:eastAsia="黑体"/>
          <w:b/>
          <w:bCs/>
          <w:color w:val="000000" w:themeColor="text1"/>
          <w:highlight w:val="none"/>
          <w:u w:val="single"/>
          <w14:textFill>
            <w14:solidFill>
              <w14:schemeClr w14:val="tx1"/>
            </w14:solidFill>
          </w14:textFill>
        </w:rPr>
      </w:pPr>
      <w:r>
        <w:rPr>
          <w:rFonts w:hint="eastAsia" w:ascii="黑体" w:eastAsia="黑体"/>
          <w:b/>
          <w:bCs/>
          <w:color w:val="000000" w:themeColor="text1"/>
          <w:highlight w:val="none"/>
          <w:u w:val="singl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keepNext/>
        <w:keepLines/>
        <w:autoSpaceDE w:val="0"/>
        <w:autoSpaceDN w:val="0"/>
        <w:spacing w:before="260" w:after="260" w:line="360" w:lineRule="auto"/>
        <w:jc w:val="center"/>
        <w:rPr>
          <w:b/>
          <w:bCs/>
          <w:color w:val="000000" w:themeColor="text1"/>
          <w:sz w:val="30"/>
          <w:szCs w:val="30"/>
          <w:highlight w:val="none"/>
          <w14:textFill>
            <w14:solidFill>
              <w14:schemeClr w14:val="tx1"/>
            </w14:solidFill>
          </w14:textFill>
        </w:rPr>
      </w:pPr>
      <w:r>
        <w:rPr>
          <w:b/>
          <w:bCs/>
          <w:color w:val="000000" w:themeColor="text1"/>
          <w:sz w:val="30"/>
          <w:szCs w:val="30"/>
          <w:highlight w:val="none"/>
          <w14:textFill>
            <w14:solidFill>
              <w14:schemeClr w14:val="tx1"/>
            </w14:solidFill>
          </w14:textFill>
        </w:rPr>
        <w:br w:type="page"/>
      </w:r>
      <w:r>
        <w:rPr>
          <w:rFonts w:hint="eastAsia" w:ascii="宋体" w:hAnsi="宋体"/>
          <w:b/>
          <w:bCs/>
          <w:color w:val="000000" w:themeColor="text1"/>
          <w:sz w:val="28"/>
          <w:szCs w:val="28"/>
          <w:highlight w:val="none"/>
          <w14:textFill>
            <w14:solidFill>
              <w14:schemeClr w14:val="tx1"/>
            </w14:solidFill>
          </w14:textFill>
        </w:rPr>
        <w:t>八、其他资料</w:t>
      </w:r>
    </w:p>
    <w:p>
      <w:pPr>
        <w:autoSpaceDE w:val="0"/>
        <w:autoSpaceDN w:val="0"/>
        <w:adjustRightInd w:val="0"/>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投标人须知前附表1.4.1供应商资格条件要求的相关资料的原件扫描件及承诺</w:t>
      </w:r>
    </w:p>
    <w:p>
      <w:pPr>
        <w:autoSpaceDE w:val="0"/>
        <w:autoSpaceDN w:val="0"/>
        <w:adjustRightInd w:val="0"/>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项目经理及技术负责人简历表（格式自拟）</w:t>
      </w:r>
    </w:p>
    <w:p>
      <w:pPr>
        <w:autoSpaceDE w:val="0"/>
        <w:autoSpaceDN w:val="0"/>
        <w:adjustRightInd w:val="0"/>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评标办法要求的相关证件原件扫描件</w:t>
      </w:r>
    </w:p>
    <w:p>
      <w:pPr>
        <w:autoSpaceDE w:val="0"/>
        <w:autoSpaceDN w:val="0"/>
        <w:adjustRightInd w:val="0"/>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投标人应在投标文件中承诺如下：我公司独立制作、修改和上传投标文件，并承担因“硬件特征码一致”、无法解密，解密后乱码、所造成的不良后果，自己承担以上责任。</w:t>
      </w:r>
    </w:p>
    <w:p>
      <w:pPr>
        <w:autoSpaceDE w:val="0"/>
        <w:autoSpaceDN w:val="0"/>
        <w:adjustRightInd w:val="0"/>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投标人认为相关的其他材料</w:t>
      </w:r>
    </w:p>
    <w:p>
      <w:pPr>
        <w:autoSpaceDE w:val="0"/>
        <w:autoSpaceDN w:val="0"/>
        <w:adjustRightInd w:val="0"/>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p>
    <w:p>
      <w:pPr>
        <w:autoSpaceDE w:val="0"/>
        <w:autoSpaceDN w:val="0"/>
        <w:adjustRightInd w:val="0"/>
        <w:spacing w:line="360" w:lineRule="auto"/>
        <w:ind w:firstLine="420" w:firstLineChars="200"/>
        <w:rPr>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pPr>
        <w:spacing w:beforeLines="50" w:afterLines="50" w:line="360" w:lineRule="auto"/>
        <w:ind w:firstLine="1269" w:firstLineChars="395"/>
        <w:rPr>
          <w:rFonts w:ascii="仿宋_GB2312" w:hAnsi="宋体" w:eastAsia="仿宋_GB2312"/>
          <w:b/>
          <w:bCs/>
          <w:color w:val="000000" w:themeColor="text1"/>
          <w:kern w:val="44"/>
          <w:sz w:val="32"/>
          <w:szCs w:val="32"/>
          <w:highlight w:val="none"/>
          <w14:textFill>
            <w14:solidFill>
              <w14:schemeClr w14:val="tx1"/>
            </w14:solidFill>
          </w14:textFill>
        </w:rPr>
      </w:pPr>
      <w:r>
        <w:rPr>
          <w:rFonts w:hint="eastAsia" w:ascii="仿宋_GB2312" w:hAnsi="宋体" w:eastAsia="仿宋_GB2312"/>
          <w:b/>
          <w:bCs/>
          <w:color w:val="000000" w:themeColor="text1"/>
          <w:kern w:val="44"/>
          <w:sz w:val="32"/>
          <w:szCs w:val="32"/>
          <w:highlight w:val="none"/>
          <w14:textFill>
            <w14:solidFill>
              <w14:schemeClr w14:val="tx1"/>
            </w14:solidFill>
          </w14:textFill>
        </w:rPr>
        <w:t>附件1</w:t>
      </w:r>
      <w:r>
        <w:rPr>
          <w:rFonts w:hint="eastAsia" w:ascii="宋体" w:hAnsi="宋体"/>
          <w:b/>
          <w:bCs/>
          <w:color w:val="000000" w:themeColor="text1"/>
          <w:sz w:val="28"/>
          <w:szCs w:val="28"/>
          <w:highlight w:val="none"/>
          <w14:textFill>
            <w14:solidFill>
              <w14:schemeClr w14:val="tx1"/>
            </w14:solidFill>
          </w14:textFill>
        </w:rPr>
        <w:t>（符合政策要求，并申请按小型微型企业投标者提供）</w:t>
      </w:r>
      <w:r>
        <w:rPr>
          <w:rFonts w:hint="eastAsia" w:ascii="仿宋_GB2312" w:hAnsi="宋体" w:eastAsia="仿宋_GB2312"/>
          <w:b/>
          <w:bCs/>
          <w:color w:val="000000" w:themeColor="text1"/>
          <w:kern w:val="44"/>
          <w:sz w:val="28"/>
          <w:szCs w:val="28"/>
          <w:highlight w:val="none"/>
          <w14:textFill>
            <w14:solidFill>
              <w14:schemeClr w14:val="tx1"/>
            </w14:solidFill>
          </w14:textFill>
        </w:rPr>
        <w:t>：</w:t>
      </w:r>
    </w:p>
    <w:p>
      <w:pPr>
        <w:widowControl/>
        <w:spacing w:before="100" w:beforeAutospacing="1" w:after="100" w:afterAutospacing="1" w:line="360" w:lineRule="auto"/>
        <w:jc w:val="center"/>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中小企业声明函 </w:t>
      </w:r>
    </w:p>
    <w:p>
      <w:pPr>
        <w:widowControl/>
        <w:spacing w:before="100" w:beforeAutospacing="1" w:after="100" w:afterAutospacing="1" w:line="360" w:lineRule="auto"/>
        <w:jc w:val="left"/>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  本公司郑重声明，根据《政府采购促进中小企业发展暂行办法》（财库[2011]181号）的规定，本公司为______（请填写：中型、小型、微型）企业。即，本公司同时满足以下条件：</w:t>
      </w:r>
      <w:r>
        <w:rPr>
          <w:rFonts w:hint="eastAsia" w:ascii="宋体" w:hAnsi="宋体"/>
          <w:color w:val="000000" w:themeColor="text1"/>
          <w:kern w:val="0"/>
          <w:sz w:val="24"/>
          <w:highlight w:val="none"/>
          <w14:textFill>
            <w14:solidFill>
              <w14:schemeClr w14:val="tx1"/>
            </w14:solidFill>
          </w14:textFill>
        </w:rPr>
        <w:br w:type="textWrapping"/>
      </w:r>
      <w:r>
        <w:rPr>
          <w:rFonts w:hint="eastAsia" w:ascii="宋体" w:hAnsi="宋体"/>
          <w:color w:val="000000" w:themeColor="text1"/>
          <w:kern w:val="0"/>
          <w:sz w:val="24"/>
          <w:highlight w:val="none"/>
          <w14:textFill>
            <w14:solidFill>
              <w14:schemeClr w14:val="tx1"/>
            </w14:solidFill>
          </w14:textFill>
        </w:rPr>
        <w:br w:type="textWrapping"/>
      </w:r>
      <w:r>
        <w:rPr>
          <w:rFonts w:hint="eastAsia" w:ascii="宋体" w:hAnsi="宋体"/>
          <w:color w:val="000000" w:themeColor="text1"/>
          <w:kern w:val="0"/>
          <w:sz w:val="24"/>
          <w:highlight w:val="none"/>
          <w14:textFill>
            <w14:solidFill>
              <w14:schemeClr w14:val="tx1"/>
            </w14:solidFill>
          </w14:textFill>
        </w:rPr>
        <w:t xml:space="preserve">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color w:val="000000" w:themeColor="text1"/>
          <w:kern w:val="0"/>
          <w:sz w:val="24"/>
          <w:highlight w:val="none"/>
          <w14:textFill>
            <w14:solidFill>
              <w14:schemeClr w14:val="tx1"/>
            </w14:solidFill>
          </w14:textFill>
        </w:rPr>
        <w:br w:type="textWrapping"/>
      </w:r>
      <w:r>
        <w:rPr>
          <w:rFonts w:hint="eastAsia" w:ascii="宋体" w:hAnsi="宋体"/>
          <w:color w:val="000000" w:themeColor="text1"/>
          <w:kern w:val="0"/>
          <w:sz w:val="24"/>
          <w:highlight w:val="none"/>
          <w14:textFill>
            <w14:solidFill>
              <w14:schemeClr w14:val="tx1"/>
            </w14:solidFill>
          </w14:textFill>
        </w:rPr>
        <w:t xml:space="preserve">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color w:val="000000" w:themeColor="text1"/>
          <w:kern w:val="0"/>
          <w:sz w:val="24"/>
          <w:highlight w:val="none"/>
          <w14:textFill>
            <w14:solidFill>
              <w14:schemeClr w14:val="tx1"/>
            </w14:solidFill>
          </w14:textFill>
        </w:rPr>
        <w:br w:type="textWrapping"/>
      </w:r>
      <w:r>
        <w:rPr>
          <w:rFonts w:hint="eastAsia" w:ascii="宋体" w:hAnsi="宋体"/>
          <w:color w:val="000000" w:themeColor="text1"/>
          <w:kern w:val="0"/>
          <w:sz w:val="24"/>
          <w:highlight w:val="none"/>
          <w14:textFill>
            <w14:solidFill>
              <w14:schemeClr w14:val="tx1"/>
            </w14:solidFill>
          </w14:textFill>
        </w:rPr>
        <w:t xml:space="preserve">  本公司对上述声明的真实性负责。如有虚假，将依法承担相应责任。 </w:t>
      </w:r>
    </w:p>
    <w:p>
      <w:pPr>
        <w:spacing w:line="360" w:lineRule="auto"/>
        <w:ind w:firstLine="480" w:firstLineChars="200"/>
        <w:jc w:val="center"/>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企业名称（盖单位电子签章）：         </w:t>
      </w:r>
    </w:p>
    <w:p>
      <w:pPr>
        <w:spacing w:line="360" w:lineRule="auto"/>
        <w:ind w:firstLine="480" w:firstLineChars="200"/>
        <w:jc w:val="center"/>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日      期： </w:t>
      </w:r>
    </w:p>
    <w:p>
      <w:pPr>
        <w:autoSpaceDE w:val="0"/>
        <w:autoSpaceDN w:val="0"/>
        <w:adjustRightInd w:val="0"/>
        <w:spacing w:line="360" w:lineRule="auto"/>
        <w:jc w:val="left"/>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 </w:t>
      </w:r>
    </w:p>
    <w:p>
      <w:pPr>
        <w:autoSpaceDE w:val="0"/>
        <w:autoSpaceDN w:val="0"/>
        <w:adjustRightInd w:val="0"/>
        <w:spacing w:line="360" w:lineRule="auto"/>
        <w:jc w:val="left"/>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 xml:space="preserve"> </w:t>
      </w:r>
    </w:p>
    <w:p>
      <w:pPr>
        <w:spacing w:line="360" w:lineRule="auto"/>
        <w:ind w:firstLine="482" w:firstLineChars="200"/>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注：1、供应商应提供本企业生产产品或服务，并随本函附带提供企业注册地县级以上中小企业主管部门出具的小型微型企业认定材料。（提供其他小型、微型企业制造的货物时，需同时另外提供该制造企业的《中小企业声明函》及认定材料）。</w:t>
      </w:r>
    </w:p>
    <w:p>
      <w:pPr>
        <w:spacing w:line="360" w:lineRule="auto"/>
        <w:ind w:firstLine="482" w:firstLineChars="200"/>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2、中标人的本声明函随中标结果同时公布，接受其他供应商和社会监督。</w:t>
      </w:r>
    </w:p>
    <w:p>
      <w:pPr>
        <w:spacing w:line="360" w:lineRule="auto"/>
        <w:ind w:firstLine="482" w:firstLineChars="200"/>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br w:type="page"/>
      </w:r>
    </w:p>
    <w:p>
      <w:pPr>
        <w:spacing w:line="360" w:lineRule="auto"/>
        <w:rPr>
          <w:rFonts w:ascii="仿宋_GB2312" w:hAnsi="宋体" w:eastAsia="仿宋_GB2312"/>
          <w:b/>
          <w:bCs/>
          <w:color w:val="000000" w:themeColor="text1"/>
          <w:kern w:val="44"/>
          <w:sz w:val="32"/>
          <w:szCs w:val="32"/>
          <w:highlight w:val="none"/>
          <w14:textFill>
            <w14:solidFill>
              <w14:schemeClr w14:val="tx1"/>
            </w14:solidFill>
          </w14:textFill>
        </w:rPr>
      </w:pPr>
      <w:r>
        <w:rPr>
          <w:rFonts w:hint="eastAsia" w:ascii="仿宋_GB2312" w:hAnsi="宋体" w:eastAsia="仿宋_GB2312"/>
          <w:b/>
          <w:bCs/>
          <w:color w:val="000000" w:themeColor="text1"/>
          <w:kern w:val="44"/>
          <w:sz w:val="32"/>
          <w:szCs w:val="32"/>
          <w:highlight w:val="none"/>
          <w14:textFill>
            <w14:solidFill>
              <w14:schemeClr w14:val="tx1"/>
            </w14:solidFill>
          </w14:textFill>
        </w:rPr>
        <w:t>附件2</w:t>
      </w:r>
      <w:r>
        <w:rPr>
          <w:rFonts w:hint="eastAsia" w:ascii="宋体" w:hAnsi="宋体"/>
          <w:b/>
          <w:bCs/>
          <w:color w:val="000000" w:themeColor="text1"/>
          <w:sz w:val="28"/>
          <w:szCs w:val="28"/>
          <w:highlight w:val="none"/>
          <w14:textFill>
            <w14:solidFill>
              <w14:schemeClr w14:val="tx1"/>
            </w14:solidFill>
          </w14:textFill>
        </w:rPr>
        <w:t>（符合政策要求，并申请按残疾人福利性单位投标者提供）</w:t>
      </w:r>
      <w:r>
        <w:rPr>
          <w:rFonts w:hint="eastAsia" w:ascii="仿宋_GB2312" w:hAnsi="宋体" w:eastAsia="仿宋_GB2312"/>
          <w:b/>
          <w:bCs/>
          <w:color w:val="000000" w:themeColor="text1"/>
          <w:kern w:val="44"/>
          <w:sz w:val="28"/>
          <w:szCs w:val="28"/>
          <w:highlight w:val="none"/>
          <w14:textFill>
            <w14:solidFill>
              <w14:schemeClr w14:val="tx1"/>
            </w14:solidFill>
          </w14:textFill>
        </w:rPr>
        <w:t>：</w:t>
      </w:r>
    </w:p>
    <w:p>
      <w:pPr>
        <w:spacing w:line="360" w:lineRule="auto"/>
        <w:rPr>
          <w:rFonts w:eastAsia="仿宋_GB2312"/>
          <w:color w:val="000000" w:themeColor="text1"/>
          <w:spacing w:val="6"/>
          <w:sz w:val="30"/>
          <w:szCs w:val="30"/>
          <w:highlight w:val="none"/>
          <w14:textFill>
            <w14:solidFill>
              <w14:schemeClr w14:val="tx1"/>
            </w14:solidFill>
          </w14:textFill>
        </w:rPr>
      </w:pPr>
      <w:r>
        <w:rPr>
          <w:rFonts w:eastAsia="仿宋_GB2312"/>
          <w:color w:val="000000" w:themeColor="text1"/>
          <w:spacing w:val="6"/>
          <w:sz w:val="30"/>
          <w:szCs w:val="30"/>
          <w:highlight w:val="none"/>
          <w14:textFill>
            <w14:solidFill>
              <w14:schemeClr w14:val="tx1"/>
            </w14:solidFill>
          </w14:textFill>
        </w:rPr>
        <w:t xml:space="preserve"> </w:t>
      </w:r>
    </w:p>
    <w:p>
      <w:pPr>
        <w:spacing w:line="360" w:lineRule="auto"/>
        <w:jc w:val="center"/>
        <w:rPr>
          <w:rFonts w:ascii="仿宋_GB2312" w:eastAsia="仿宋_GB2312"/>
          <w:b/>
          <w:bCs/>
          <w:color w:val="000000" w:themeColor="text1"/>
          <w:spacing w:val="6"/>
          <w:sz w:val="32"/>
          <w:szCs w:val="32"/>
          <w:highlight w:val="none"/>
          <w14:textFill>
            <w14:solidFill>
              <w14:schemeClr w14:val="tx1"/>
            </w14:solidFill>
          </w14:textFill>
        </w:rPr>
      </w:pPr>
      <w:bookmarkStart w:id="87" w:name="OLE_LINK13"/>
      <w:bookmarkEnd w:id="87"/>
      <w:bookmarkStart w:id="88" w:name="OLE_LINK14"/>
      <w:r>
        <w:rPr>
          <w:rFonts w:hint="eastAsia" w:ascii="仿宋_GB2312" w:eastAsia="仿宋_GB2312"/>
          <w:b/>
          <w:bCs/>
          <w:color w:val="000000" w:themeColor="text1"/>
          <w:spacing w:val="6"/>
          <w:sz w:val="32"/>
          <w:szCs w:val="32"/>
          <w:highlight w:val="none"/>
          <w14:textFill>
            <w14:solidFill>
              <w14:schemeClr w14:val="tx1"/>
            </w14:solidFill>
          </w14:textFill>
        </w:rPr>
        <w:t>残疾人福利性单位声明函</w:t>
      </w:r>
      <w:bookmarkEnd w:id="88"/>
    </w:p>
    <w:p>
      <w:pPr>
        <w:spacing w:line="360" w:lineRule="auto"/>
        <w:rPr>
          <w:rFonts w:ascii="仿宋_GB2312" w:eastAsia="仿宋_GB2312"/>
          <w:b/>
          <w:bCs/>
          <w:color w:val="000000" w:themeColor="text1"/>
          <w:spacing w:val="6"/>
          <w:sz w:val="30"/>
          <w:szCs w:val="30"/>
          <w:highlight w:val="none"/>
          <w14:textFill>
            <w14:solidFill>
              <w14:schemeClr w14:val="tx1"/>
            </w14:solidFill>
          </w14:textFill>
        </w:rPr>
      </w:pPr>
      <w:r>
        <w:rPr>
          <w:rFonts w:hint="eastAsia" w:ascii="仿宋_GB2312" w:eastAsia="仿宋_GB2312"/>
          <w:b/>
          <w:bCs/>
          <w:color w:val="000000" w:themeColor="text1"/>
          <w:spacing w:val="6"/>
          <w:sz w:val="30"/>
          <w:szCs w:val="30"/>
          <w:highlight w:val="none"/>
          <w14:textFill>
            <w14:solidFill>
              <w14:schemeClr w14:val="tx1"/>
            </w14:solidFill>
          </w14:textFill>
        </w:rPr>
        <w:t xml:space="preserve"> </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本单位对上述声明的真实性负责。如有虚假，将依法承担相应责任。</w:t>
      </w:r>
    </w:p>
    <w:p>
      <w:pPr>
        <w:spacing w:line="360" w:lineRule="auto"/>
        <w:ind w:right="1560" w:firstLine="2640" w:firstLineChars="11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p>
    <w:p>
      <w:pPr>
        <w:spacing w:line="360" w:lineRule="auto"/>
        <w:ind w:right="1560" w:firstLine="2640" w:firstLineChars="11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p>
    <w:p>
      <w:pPr>
        <w:spacing w:line="360" w:lineRule="auto"/>
        <w:ind w:right="1560"/>
        <w:jc w:val="righ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单位名称（盖单位电子签章）：</w:t>
      </w:r>
    </w:p>
    <w:p>
      <w:pPr>
        <w:spacing w:line="360" w:lineRule="auto"/>
        <w:ind w:right="1560"/>
        <w:jc w:val="righ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日  期：</w:t>
      </w:r>
    </w:p>
    <w:p>
      <w:pPr>
        <w:spacing w:line="360" w:lineRule="auto"/>
        <w:ind w:right="1560" w:firstLine="4680" w:firstLineChars="1500"/>
        <w:rPr>
          <w:rFonts w:ascii="仿宋_GB2312" w:eastAsia="仿宋_GB2312"/>
          <w:color w:val="000000" w:themeColor="text1"/>
          <w:spacing w:val="6"/>
          <w:sz w:val="30"/>
          <w:szCs w:val="30"/>
          <w:highlight w:val="none"/>
          <w14:textFill>
            <w14:solidFill>
              <w14:schemeClr w14:val="tx1"/>
            </w14:solidFill>
          </w14:textFill>
        </w:rPr>
      </w:pPr>
      <w:r>
        <w:rPr>
          <w:rFonts w:hint="eastAsia" w:ascii="仿宋_GB2312" w:eastAsia="仿宋_GB2312"/>
          <w:color w:val="000000" w:themeColor="text1"/>
          <w:spacing w:val="6"/>
          <w:sz w:val="30"/>
          <w:szCs w:val="30"/>
          <w:highlight w:val="none"/>
          <w14:textFill>
            <w14:solidFill>
              <w14:schemeClr w14:val="tx1"/>
            </w14:solidFill>
          </w14:textFill>
        </w:rPr>
        <w:t xml:space="preserve"> </w:t>
      </w:r>
    </w:p>
    <w:p>
      <w:pPr>
        <w:spacing w:line="360" w:lineRule="auto"/>
        <w:ind w:firstLine="624" w:firstLineChars="200"/>
        <w:rPr>
          <w:rFonts w:ascii="仿宋_GB2312" w:eastAsia="仿宋_GB2312"/>
          <w:color w:val="000000" w:themeColor="text1"/>
          <w:spacing w:val="6"/>
          <w:sz w:val="30"/>
          <w:szCs w:val="30"/>
          <w:highlight w:val="none"/>
          <w14:textFill>
            <w14:solidFill>
              <w14:schemeClr w14:val="tx1"/>
            </w14:solidFill>
          </w14:textFill>
        </w:rPr>
      </w:pPr>
      <w:r>
        <w:rPr>
          <w:rFonts w:hint="eastAsia" w:ascii="仿宋_GB2312" w:eastAsia="仿宋_GB2312"/>
          <w:color w:val="000000" w:themeColor="text1"/>
          <w:spacing w:val="6"/>
          <w:sz w:val="30"/>
          <w:szCs w:val="30"/>
          <w:highlight w:val="none"/>
          <w14:textFill>
            <w14:solidFill>
              <w14:schemeClr w14:val="tx1"/>
            </w14:solidFill>
          </w14:textFill>
        </w:rPr>
        <w:t xml:space="preserve"> </w:t>
      </w:r>
    </w:p>
    <w:p>
      <w:pPr>
        <w:spacing w:line="360" w:lineRule="auto"/>
        <w:ind w:firstLine="624" w:firstLineChars="200"/>
        <w:rPr>
          <w:rFonts w:ascii="宋体" w:hAnsi="宋体"/>
          <w:b/>
          <w:bCs/>
          <w:color w:val="000000" w:themeColor="text1"/>
          <w:sz w:val="24"/>
          <w:highlight w:val="none"/>
          <w14:textFill>
            <w14:solidFill>
              <w14:schemeClr w14:val="tx1"/>
            </w14:solidFill>
          </w14:textFill>
        </w:rPr>
      </w:pPr>
      <w:r>
        <w:rPr>
          <w:rFonts w:hint="eastAsia" w:ascii="仿宋_GB2312" w:eastAsia="仿宋_GB2312"/>
          <w:color w:val="000000" w:themeColor="text1"/>
          <w:spacing w:val="6"/>
          <w:sz w:val="30"/>
          <w:szCs w:val="30"/>
          <w:highlight w:val="none"/>
          <w14:textFill>
            <w14:solidFill>
              <w14:schemeClr w14:val="tx1"/>
            </w14:solidFill>
          </w14:textFill>
        </w:rPr>
        <w:t>注：</w:t>
      </w:r>
      <w:r>
        <w:rPr>
          <w:rFonts w:hint="eastAsia" w:ascii="宋体" w:hAnsi="宋体"/>
          <w:b/>
          <w:bCs/>
          <w:color w:val="000000" w:themeColor="text1"/>
          <w:sz w:val="24"/>
          <w:highlight w:val="none"/>
          <w14:textFill>
            <w14:solidFill>
              <w14:schemeClr w14:val="tx1"/>
            </w14:solidFill>
          </w14:textFill>
        </w:rPr>
        <w:t xml:space="preserve"> 1、供应商随本函提供下相关材料复印件：①残疾证（不少于10人，不低于单位职工人数的25%），②劳务合同（期限一年以上），③社会保险金缴纳票据或清单，④银行代发工资证明。（供应商属残疾人福利性单位，而提供其他残疾人福利性单位制造的货物，需另外提供该制造企业的《残疾人福利性单位声明函》及附带相关资料）。</w:t>
      </w:r>
    </w:p>
    <w:p>
      <w:pPr>
        <w:spacing w:line="360" w:lineRule="auto"/>
        <w:ind w:firstLine="482" w:firstLineChars="200"/>
        <w:rPr>
          <w:rFonts w:ascii="仿宋_GB2312" w:hAnsi="宋体" w:eastAsia="仿宋_GB2312"/>
          <w:b/>
          <w:bCs/>
          <w:color w:val="000000" w:themeColor="text1"/>
          <w:kern w:val="44"/>
          <w:sz w:val="32"/>
          <w:szCs w:val="32"/>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2、中标人本声明函随中标结果同时公布，接受其他供应商和社会监督。</w:t>
      </w:r>
      <w:r>
        <w:rPr>
          <w:rFonts w:hint="eastAsia" w:ascii="宋体" w:hAnsi="宋体"/>
          <w:b/>
          <w:bCs/>
          <w:color w:val="000000" w:themeColor="text1"/>
          <w:sz w:val="24"/>
          <w:highlight w:val="none"/>
          <w14:textFill>
            <w14:solidFill>
              <w14:schemeClr w14:val="tx1"/>
            </w14:solidFill>
          </w14:textFill>
        </w:rPr>
        <w:br w:type="page"/>
      </w:r>
      <w:r>
        <w:rPr>
          <w:rFonts w:hint="eastAsia" w:ascii="仿宋_GB2312" w:hAnsi="宋体" w:eastAsia="仿宋_GB2312"/>
          <w:b/>
          <w:bCs/>
          <w:color w:val="000000" w:themeColor="text1"/>
          <w:kern w:val="44"/>
          <w:sz w:val="32"/>
          <w:szCs w:val="32"/>
          <w:highlight w:val="none"/>
          <w14:textFill>
            <w14:solidFill>
              <w14:schemeClr w14:val="tx1"/>
            </w14:solidFill>
          </w14:textFill>
        </w:rPr>
        <w:t>附件3</w:t>
      </w:r>
      <w:r>
        <w:rPr>
          <w:rFonts w:hint="eastAsia" w:ascii="宋体" w:hAnsi="宋体"/>
          <w:b/>
          <w:bCs/>
          <w:color w:val="000000" w:themeColor="text1"/>
          <w:sz w:val="28"/>
          <w:szCs w:val="28"/>
          <w:highlight w:val="none"/>
          <w14:textFill>
            <w14:solidFill>
              <w14:schemeClr w14:val="tx1"/>
            </w14:solidFill>
          </w14:textFill>
        </w:rPr>
        <w:t>（符合政策要求，并申请按监狱企业投标者提供）</w:t>
      </w:r>
      <w:r>
        <w:rPr>
          <w:rFonts w:hint="eastAsia" w:ascii="仿宋_GB2312" w:hAnsi="宋体" w:eastAsia="仿宋_GB2312"/>
          <w:b/>
          <w:bCs/>
          <w:color w:val="000000" w:themeColor="text1"/>
          <w:kern w:val="44"/>
          <w:sz w:val="28"/>
          <w:szCs w:val="28"/>
          <w:highlight w:val="none"/>
          <w14:textFill>
            <w14:solidFill>
              <w14:schemeClr w14:val="tx1"/>
            </w14:solidFill>
          </w14:textFill>
        </w:rPr>
        <w:t>：</w:t>
      </w:r>
    </w:p>
    <w:p>
      <w:pPr>
        <w:spacing w:line="360" w:lineRule="auto"/>
        <w:rPr>
          <w:rFonts w:eastAsia="仿宋_GB2312"/>
          <w:color w:val="000000" w:themeColor="text1"/>
          <w:spacing w:val="6"/>
          <w:sz w:val="30"/>
          <w:szCs w:val="30"/>
          <w:highlight w:val="none"/>
          <w14:textFill>
            <w14:solidFill>
              <w14:schemeClr w14:val="tx1"/>
            </w14:solidFill>
          </w14:textFill>
        </w:rPr>
      </w:pPr>
      <w:r>
        <w:rPr>
          <w:rFonts w:eastAsia="仿宋_GB2312"/>
          <w:color w:val="000000" w:themeColor="text1"/>
          <w:spacing w:val="6"/>
          <w:sz w:val="30"/>
          <w:szCs w:val="30"/>
          <w:highlight w:val="none"/>
          <w14:textFill>
            <w14:solidFill>
              <w14:schemeClr w14:val="tx1"/>
            </w14:solidFill>
          </w14:textFill>
        </w:rPr>
        <w:t xml:space="preserve"> </w:t>
      </w:r>
    </w:p>
    <w:p>
      <w:pPr>
        <w:spacing w:line="360" w:lineRule="auto"/>
        <w:jc w:val="center"/>
        <w:rPr>
          <w:rFonts w:ascii="仿宋_GB2312" w:eastAsia="仿宋_GB2312"/>
          <w:b/>
          <w:bCs/>
          <w:color w:val="000000" w:themeColor="text1"/>
          <w:spacing w:val="6"/>
          <w:sz w:val="32"/>
          <w:szCs w:val="32"/>
          <w:highlight w:val="none"/>
          <w14:textFill>
            <w14:solidFill>
              <w14:schemeClr w14:val="tx1"/>
            </w14:solidFill>
          </w14:textFill>
        </w:rPr>
      </w:pPr>
      <w:r>
        <w:rPr>
          <w:rFonts w:hint="eastAsia" w:ascii="仿宋_GB2312" w:eastAsia="仿宋_GB2312"/>
          <w:b/>
          <w:bCs/>
          <w:color w:val="000000" w:themeColor="text1"/>
          <w:spacing w:val="6"/>
          <w:sz w:val="32"/>
          <w:szCs w:val="32"/>
          <w:highlight w:val="none"/>
          <w14:textFill>
            <w14:solidFill>
              <w14:schemeClr w14:val="tx1"/>
            </w14:solidFill>
          </w14:textFill>
        </w:rPr>
        <w:t>监狱企业证明</w:t>
      </w:r>
    </w:p>
    <w:p>
      <w:pPr>
        <w:spacing w:line="360" w:lineRule="auto"/>
        <w:ind w:firstLine="560" w:firstLineChars="200"/>
        <w:rPr>
          <w:rFonts w:ascii="宋体" w:hAnsi="宋体"/>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 xml:space="preserve"> </w:t>
      </w:r>
    </w:p>
    <w:p>
      <w:pPr>
        <w:spacing w:line="360" w:lineRule="auto"/>
        <w:ind w:firstLine="560" w:firstLineChars="200"/>
        <w:rPr>
          <w:rFonts w:ascii="宋体" w:hAnsi="宋体"/>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 xml:space="preserve"> </w:t>
      </w:r>
    </w:p>
    <w:p>
      <w:pPr>
        <w:spacing w:line="360" w:lineRule="auto"/>
        <w:ind w:firstLine="560" w:firstLineChars="200"/>
        <w:rPr>
          <w:rFonts w:ascii="宋体" w:hAnsi="宋体"/>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 xml:space="preserve"> </w:t>
      </w:r>
    </w:p>
    <w:p>
      <w:pPr>
        <w:spacing w:line="360" w:lineRule="auto"/>
        <w:ind w:firstLine="560" w:firstLineChars="200"/>
        <w:rPr>
          <w:rFonts w:ascii="宋体" w:hAnsi="宋体"/>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 xml:space="preserve"> </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提供由省级以上监狱管理局、戒毒管理局（含新疆生产建设兵团）出具的属于监狱企业的证明文件。</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p>
    <w:p>
      <w:pPr>
        <w:spacing w:line="360" w:lineRule="auto"/>
        <w:jc w:val="center"/>
        <w:rPr>
          <w:rFonts w:ascii="仿宋_GB2312" w:hAnsi="宋体" w:eastAsia="仿宋_GB2312"/>
          <w:b/>
          <w:bCs/>
          <w:color w:val="000000" w:themeColor="text1"/>
          <w:sz w:val="44"/>
          <w:szCs w:val="44"/>
          <w:highlight w:val="none"/>
          <w14:textFill>
            <w14:solidFill>
              <w14:schemeClr w14:val="tx1"/>
            </w14:solidFill>
          </w14:textFill>
        </w:rPr>
      </w:pPr>
      <w:r>
        <w:rPr>
          <w:rFonts w:hint="eastAsia" w:ascii="仿宋_GB2312" w:hAnsi="宋体" w:eastAsia="仿宋_GB2312"/>
          <w:b/>
          <w:bCs/>
          <w:color w:val="000000" w:themeColor="text1"/>
          <w:sz w:val="44"/>
          <w:szCs w:val="44"/>
          <w:highlight w:val="none"/>
          <w14:textFill>
            <w14:solidFill>
              <w14:schemeClr w14:val="tx1"/>
            </w14:solidFill>
          </w14:textFill>
        </w:rPr>
        <w:t xml:space="preserve"> </w:t>
      </w:r>
    </w:p>
    <w:p>
      <w:pPr>
        <w:spacing w:line="360" w:lineRule="auto"/>
        <w:jc w:val="center"/>
        <w:rPr>
          <w:rFonts w:ascii="仿宋_GB2312" w:hAnsi="宋体" w:eastAsia="仿宋_GB2312"/>
          <w:b/>
          <w:bCs/>
          <w:color w:val="000000" w:themeColor="text1"/>
          <w:sz w:val="44"/>
          <w:szCs w:val="44"/>
          <w:highlight w:val="none"/>
          <w14:textFill>
            <w14:solidFill>
              <w14:schemeClr w14:val="tx1"/>
            </w14:solidFill>
          </w14:textFill>
        </w:rPr>
      </w:pPr>
      <w:r>
        <w:rPr>
          <w:rFonts w:hint="eastAsia" w:ascii="仿宋_GB2312" w:hAnsi="宋体" w:eastAsia="仿宋_GB2312"/>
          <w:b/>
          <w:bCs/>
          <w:color w:val="000000" w:themeColor="text1"/>
          <w:sz w:val="44"/>
          <w:szCs w:val="44"/>
          <w:highlight w:val="none"/>
          <w14:textFill>
            <w14:solidFill>
              <w14:schemeClr w14:val="tx1"/>
            </w14:solidFill>
          </w14:textFill>
        </w:rPr>
        <w:t xml:space="preserve"> </w:t>
      </w:r>
    </w:p>
    <w:p>
      <w:pPr>
        <w:spacing w:line="360" w:lineRule="auto"/>
        <w:jc w:val="center"/>
        <w:rPr>
          <w:rFonts w:ascii="仿宋_GB2312" w:hAnsi="宋体" w:eastAsia="仿宋_GB2312"/>
          <w:b/>
          <w:bCs/>
          <w:color w:val="000000" w:themeColor="text1"/>
          <w:sz w:val="44"/>
          <w:szCs w:val="44"/>
          <w:highlight w:val="none"/>
          <w14:textFill>
            <w14:solidFill>
              <w14:schemeClr w14:val="tx1"/>
            </w14:solidFill>
          </w14:textFill>
        </w:rPr>
      </w:pPr>
      <w:r>
        <w:rPr>
          <w:rFonts w:hint="eastAsia" w:ascii="仿宋_GB2312" w:hAnsi="宋体" w:eastAsia="仿宋_GB2312"/>
          <w:b/>
          <w:bCs/>
          <w:color w:val="000000" w:themeColor="text1"/>
          <w:sz w:val="44"/>
          <w:szCs w:val="44"/>
          <w:highlight w:val="none"/>
          <w14:textFill>
            <w14:solidFill>
              <w14:schemeClr w14:val="tx1"/>
            </w14:solidFill>
          </w14:textFill>
        </w:rPr>
        <w:t xml:space="preserve"> </w:t>
      </w:r>
    </w:p>
    <w:p>
      <w:pPr>
        <w:spacing w:line="360" w:lineRule="auto"/>
        <w:jc w:val="center"/>
        <w:rPr>
          <w:rFonts w:ascii="仿宋_GB2312" w:hAnsi="宋体" w:eastAsia="仿宋_GB2312"/>
          <w:b/>
          <w:bCs/>
          <w:color w:val="000000" w:themeColor="text1"/>
          <w:sz w:val="44"/>
          <w:szCs w:val="44"/>
          <w:highlight w:val="none"/>
          <w14:textFill>
            <w14:solidFill>
              <w14:schemeClr w14:val="tx1"/>
            </w14:solidFill>
          </w14:textFill>
        </w:rPr>
      </w:pPr>
      <w:r>
        <w:rPr>
          <w:rFonts w:hint="eastAsia" w:ascii="仿宋_GB2312" w:hAnsi="宋体" w:eastAsia="仿宋_GB2312"/>
          <w:b/>
          <w:bCs/>
          <w:color w:val="000000" w:themeColor="text1"/>
          <w:sz w:val="44"/>
          <w:szCs w:val="44"/>
          <w:highlight w:val="none"/>
          <w14:textFill>
            <w14:solidFill>
              <w14:schemeClr w14:val="tx1"/>
            </w14:solidFill>
          </w14:textFill>
        </w:rPr>
        <w:t xml:space="preserve"> </w:t>
      </w:r>
    </w:p>
    <w:p>
      <w:pPr>
        <w:spacing w:line="360" w:lineRule="auto"/>
        <w:jc w:val="center"/>
        <w:rPr>
          <w:rFonts w:ascii="仿宋_GB2312" w:hAnsi="宋体" w:eastAsia="仿宋_GB2312"/>
          <w:b/>
          <w:bCs/>
          <w:color w:val="000000" w:themeColor="text1"/>
          <w:sz w:val="44"/>
          <w:szCs w:val="44"/>
          <w:highlight w:val="none"/>
          <w14:textFill>
            <w14:solidFill>
              <w14:schemeClr w14:val="tx1"/>
            </w14:solidFill>
          </w14:textFill>
        </w:rPr>
      </w:pPr>
      <w:r>
        <w:rPr>
          <w:rFonts w:hint="eastAsia" w:ascii="仿宋_GB2312" w:hAnsi="宋体" w:eastAsia="仿宋_GB2312"/>
          <w:b/>
          <w:bCs/>
          <w:color w:val="000000" w:themeColor="text1"/>
          <w:sz w:val="44"/>
          <w:szCs w:val="44"/>
          <w:highlight w:val="none"/>
          <w14:textFill>
            <w14:solidFill>
              <w14:schemeClr w14:val="tx1"/>
            </w14:solidFill>
          </w14:textFill>
        </w:rPr>
        <w:t xml:space="preserve"> </w:t>
      </w:r>
    </w:p>
    <w:p>
      <w:pPr>
        <w:spacing w:line="360" w:lineRule="auto"/>
        <w:jc w:val="center"/>
        <w:rPr>
          <w:rFonts w:ascii="仿宋_GB2312" w:hAnsi="宋体" w:eastAsia="仿宋_GB2312"/>
          <w:b/>
          <w:bCs/>
          <w:color w:val="000000" w:themeColor="text1"/>
          <w:sz w:val="44"/>
          <w:szCs w:val="44"/>
          <w:highlight w:val="none"/>
          <w14:textFill>
            <w14:solidFill>
              <w14:schemeClr w14:val="tx1"/>
            </w14:solidFill>
          </w14:textFill>
        </w:rPr>
      </w:pPr>
      <w:r>
        <w:rPr>
          <w:rFonts w:hint="eastAsia" w:ascii="仿宋_GB2312" w:hAnsi="宋体" w:eastAsia="仿宋_GB2312"/>
          <w:b/>
          <w:bCs/>
          <w:color w:val="000000" w:themeColor="text1"/>
          <w:sz w:val="44"/>
          <w:szCs w:val="44"/>
          <w:highlight w:val="none"/>
          <w14:textFill>
            <w14:solidFill>
              <w14:schemeClr w14:val="tx1"/>
            </w14:solidFill>
          </w14:textFill>
        </w:rPr>
        <w:t xml:space="preserve"> </w:t>
      </w:r>
    </w:p>
    <w:p>
      <w:pPr>
        <w:spacing w:line="360" w:lineRule="auto"/>
        <w:jc w:val="center"/>
        <w:rPr>
          <w:rFonts w:ascii="仿宋_GB2312" w:hAnsi="宋体" w:eastAsia="仿宋_GB2312"/>
          <w:b/>
          <w:bCs/>
          <w:color w:val="000000" w:themeColor="text1"/>
          <w:sz w:val="44"/>
          <w:szCs w:val="44"/>
          <w:highlight w:val="none"/>
          <w14:textFill>
            <w14:solidFill>
              <w14:schemeClr w14:val="tx1"/>
            </w14:solidFill>
          </w14:textFill>
        </w:rPr>
      </w:pPr>
      <w:r>
        <w:rPr>
          <w:rFonts w:hint="eastAsia" w:ascii="仿宋_GB2312" w:hAnsi="宋体" w:eastAsia="仿宋_GB2312"/>
          <w:b/>
          <w:bCs/>
          <w:color w:val="000000" w:themeColor="text1"/>
          <w:sz w:val="44"/>
          <w:szCs w:val="44"/>
          <w:highlight w:val="none"/>
          <w14:textFill>
            <w14:solidFill>
              <w14:schemeClr w14:val="tx1"/>
            </w14:solidFill>
          </w14:textFill>
        </w:rPr>
        <w:t xml:space="preserve"> </w:t>
      </w:r>
    </w:p>
    <w:p>
      <w:pPr>
        <w:spacing w:line="360" w:lineRule="auto"/>
        <w:jc w:val="center"/>
        <w:rPr>
          <w:rFonts w:ascii="仿宋_GB2312" w:hAnsi="宋体" w:eastAsia="仿宋_GB2312"/>
          <w:b/>
          <w:bCs/>
          <w:color w:val="000000" w:themeColor="text1"/>
          <w:sz w:val="44"/>
          <w:szCs w:val="44"/>
          <w:highlight w:val="none"/>
          <w14:textFill>
            <w14:solidFill>
              <w14:schemeClr w14:val="tx1"/>
            </w14:solidFill>
          </w14:textFill>
        </w:rPr>
      </w:pPr>
      <w:r>
        <w:rPr>
          <w:rFonts w:hint="eastAsia" w:ascii="仿宋_GB2312" w:hAnsi="宋体" w:eastAsia="仿宋_GB2312"/>
          <w:b/>
          <w:bCs/>
          <w:color w:val="000000" w:themeColor="text1"/>
          <w:sz w:val="44"/>
          <w:szCs w:val="44"/>
          <w:highlight w:val="none"/>
          <w14:textFill>
            <w14:solidFill>
              <w14:schemeClr w14:val="tx1"/>
            </w14:solidFill>
          </w14:textFill>
        </w:rPr>
        <w:t xml:space="preserve"> </w:t>
      </w:r>
    </w:p>
    <w:p>
      <w:pPr>
        <w:spacing w:line="360" w:lineRule="auto"/>
        <w:rPr>
          <w:rFonts w:ascii="仿宋_GB2312" w:hAnsi="宋体" w:eastAsia="仿宋_GB2312"/>
          <w:b/>
          <w:bCs/>
          <w:color w:val="000000" w:themeColor="text1"/>
          <w:kern w:val="44"/>
          <w:sz w:val="32"/>
          <w:szCs w:val="32"/>
          <w:highlight w:val="none"/>
          <w14:textFill>
            <w14:solidFill>
              <w14:schemeClr w14:val="tx1"/>
            </w14:solidFill>
          </w14:textFill>
        </w:rPr>
      </w:pPr>
      <w:r>
        <w:rPr>
          <w:rFonts w:hint="eastAsia" w:ascii="仿宋_GB2312" w:eastAsia="仿宋_GB2312"/>
          <w:color w:val="000000" w:themeColor="text1"/>
          <w:spacing w:val="6"/>
          <w:sz w:val="30"/>
          <w:szCs w:val="30"/>
          <w:highlight w:val="none"/>
          <w14:textFill>
            <w14:solidFill>
              <w14:schemeClr w14:val="tx1"/>
            </w14:solidFill>
          </w14:textFill>
        </w:rPr>
        <w:t>注：</w:t>
      </w:r>
      <w:r>
        <w:rPr>
          <w:rFonts w:hint="eastAsia" w:ascii="宋体" w:hAnsi="宋体"/>
          <w:b/>
          <w:bCs/>
          <w:color w:val="000000" w:themeColor="text1"/>
          <w:sz w:val="24"/>
          <w:highlight w:val="none"/>
          <w14:textFill>
            <w14:solidFill>
              <w14:schemeClr w14:val="tx1"/>
            </w14:solidFill>
          </w14:textFill>
        </w:rPr>
        <w:t>成交人的本监狱企业证明文件随成交结果同时公布，接受其他供应商和社会监督。</w:t>
      </w:r>
    </w:p>
    <w:p>
      <w:pPr>
        <w:spacing w:line="360" w:lineRule="auto"/>
        <w:jc w:val="center"/>
        <w:rPr>
          <w:rFonts w:ascii="宋体"/>
          <w:b/>
          <w:bCs/>
          <w:color w:val="000000" w:themeColor="text1"/>
          <w:kern w:val="44"/>
          <w:sz w:val="44"/>
          <w:szCs w:val="44"/>
          <w:highlight w:val="none"/>
          <w14:textFill>
            <w14:solidFill>
              <w14:schemeClr w14:val="tx1"/>
            </w14:solidFill>
          </w14:textFill>
        </w:rPr>
      </w:pPr>
      <w:r>
        <w:rPr>
          <w:rFonts w:hint="eastAsia" w:ascii="宋体"/>
          <w:b/>
          <w:bCs/>
          <w:color w:val="000000" w:themeColor="text1"/>
          <w:kern w:val="44"/>
          <w:sz w:val="44"/>
          <w:szCs w:val="44"/>
          <w:highlight w:val="none"/>
          <w14:textFill>
            <w14:solidFill>
              <w14:schemeClr w14:val="tx1"/>
            </w14:solidFill>
          </w14:textFill>
        </w:rPr>
        <w:t xml:space="preserve"> </w:t>
      </w:r>
    </w:p>
    <w:p>
      <w:pPr>
        <w:spacing w:line="360" w:lineRule="auto"/>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 xml:space="preserve"> </w:t>
      </w:r>
    </w:p>
    <w:p>
      <w:pPr>
        <w:spacing w:line="360" w:lineRule="auto"/>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 xml:space="preserve"> </w:t>
      </w:r>
    </w:p>
    <w:p>
      <w:pPr>
        <w:spacing w:line="360" w:lineRule="auto"/>
        <w:rPr>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 xml:space="preserve"> </w:t>
      </w:r>
    </w:p>
    <w:p>
      <w:pPr>
        <w:rPr>
          <w:color w:val="000000" w:themeColor="text1"/>
          <w:highlight w:val="none"/>
          <w14:textFill>
            <w14:solidFill>
              <w14:schemeClr w14:val="tx1"/>
            </w14:solidFill>
          </w14:textFill>
        </w:rPr>
      </w:pPr>
    </w:p>
    <w:sectPr>
      <w:headerReference r:id="rId3" w:type="default"/>
      <w:footerReference r:id="rId4" w:type="default"/>
      <w:pgSz w:w="11906" w:h="16838"/>
      <w:pgMar w:top="1418" w:right="1134" w:bottom="1134" w:left="1134" w:header="851" w:footer="992" w:gutter="0"/>
      <w:cols w:space="72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modern"/>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1" w:csb1="00000000"/>
  </w:font>
  <w:font w:name="_6977_4f53_GB2312">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TimesNewRomanPSMT">
    <w:altName w:val="Times New Roman"/>
    <w:panose1 w:val="00000000000000000000"/>
    <w:charset w:val="00"/>
    <w:family w:val="roman"/>
    <w:pitch w:val="default"/>
    <w:sig w:usb0="00000000" w:usb1="00000000" w:usb2="00000010" w:usb3="00000000" w:csb0="00040001" w:csb1="00000000"/>
  </w:font>
  <w:font w:name="Simang">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fill on="f" focussize="0,0"/>
              <v:stroke on="f" weight="0.5pt"/>
              <v:imagedata o:title=""/>
              <o:lock v:ext="edit" aspectratio="f"/>
              <v:textbox inset="0mm,0mm,0mm,0mm" style="mso-fit-shape-to-text:t;">
                <w:txbxContent>
                  <w:p>
                    <w:pPr>
                      <w:pStyle w:val="9"/>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both"/>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7401"/>
    <w:multiLevelType w:val="multilevel"/>
    <w:tmpl w:val="0DC57401"/>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
    <w:nsid w:val="220978FA"/>
    <w:multiLevelType w:val="multilevel"/>
    <w:tmpl w:val="220978F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BEF20AD"/>
    <w:multiLevelType w:val="multilevel"/>
    <w:tmpl w:val="2BEF20AD"/>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41854AF3"/>
    <w:multiLevelType w:val="multilevel"/>
    <w:tmpl w:val="41854AF3"/>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4">
    <w:nsid w:val="485E02F6"/>
    <w:multiLevelType w:val="multilevel"/>
    <w:tmpl w:val="485E02F6"/>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62A52D3"/>
    <w:multiLevelType w:val="singleLevel"/>
    <w:tmpl w:val="562A52D3"/>
    <w:lvl w:ilvl="0" w:tentative="0">
      <w:start w:val="6"/>
      <w:numFmt w:val="chineseCounting"/>
      <w:suff w:val="nothing"/>
      <w:lvlText w:val="%1、"/>
      <w:lvlJc w:val="left"/>
      <w:rPr>
        <w:rFonts w:hint="eastAsia"/>
      </w:rPr>
    </w:lvl>
  </w:abstractNum>
  <w:abstractNum w:abstractNumId="6">
    <w:nsid w:val="5A1944AE"/>
    <w:multiLevelType w:val="multilevel"/>
    <w:tmpl w:val="5A1944AE"/>
    <w:lvl w:ilvl="0" w:tentative="0">
      <w:start w:val="23"/>
      <w:numFmt w:val="decimal"/>
      <w:lvlText w:val="%1、"/>
      <w:lvlJc w:val="left"/>
      <w:pPr>
        <w:ind w:left="621" w:hanging="480"/>
      </w:pPr>
      <w:rPr>
        <w:rFonts w:hint="default"/>
      </w:rPr>
    </w:lvl>
    <w:lvl w:ilvl="1" w:tentative="0">
      <w:start w:val="1"/>
      <w:numFmt w:val="lowerLetter"/>
      <w:lvlText w:val="%2)"/>
      <w:lvlJc w:val="left"/>
      <w:pPr>
        <w:ind w:left="981" w:hanging="420"/>
      </w:pPr>
    </w:lvl>
    <w:lvl w:ilvl="2" w:tentative="0">
      <w:start w:val="1"/>
      <w:numFmt w:val="lowerRoman"/>
      <w:lvlText w:val="%3."/>
      <w:lvlJc w:val="right"/>
      <w:pPr>
        <w:ind w:left="1401" w:hanging="420"/>
      </w:pPr>
    </w:lvl>
    <w:lvl w:ilvl="3" w:tentative="0">
      <w:start w:val="1"/>
      <w:numFmt w:val="decimal"/>
      <w:lvlText w:val="%4."/>
      <w:lvlJc w:val="left"/>
      <w:pPr>
        <w:ind w:left="1821" w:hanging="420"/>
      </w:pPr>
    </w:lvl>
    <w:lvl w:ilvl="4" w:tentative="0">
      <w:start w:val="1"/>
      <w:numFmt w:val="lowerLetter"/>
      <w:lvlText w:val="%5)"/>
      <w:lvlJc w:val="left"/>
      <w:pPr>
        <w:ind w:left="2241" w:hanging="420"/>
      </w:pPr>
    </w:lvl>
    <w:lvl w:ilvl="5" w:tentative="0">
      <w:start w:val="1"/>
      <w:numFmt w:val="lowerRoman"/>
      <w:lvlText w:val="%6."/>
      <w:lvlJc w:val="right"/>
      <w:pPr>
        <w:ind w:left="2661" w:hanging="420"/>
      </w:pPr>
    </w:lvl>
    <w:lvl w:ilvl="6" w:tentative="0">
      <w:start w:val="1"/>
      <w:numFmt w:val="decimal"/>
      <w:lvlText w:val="%7."/>
      <w:lvlJc w:val="left"/>
      <w:pPr>
        <w:ind w:left="3081" w:hanging="420"/>
      </w:pPr>
    </w:lvl>
    <w:lvl w:ilvl="7" w:tentative="0">
      <w:start w:val="1"/>
      <w:numFmt w:val="lowerLetter"/>
      <w:lvlText w:val="%8)"/>
      <w:lvlJc w:val="left"/>
      <w:pPr>
        <w:ind w:left="3501" w:hanging="420"/>
      </w:pPr>
    </w:lvl>
    <w:lvl w:ilvl="8" w:tentative="0">
      <w:start w:val="1"/>
      <w:numFmt w:val="lowerRoman"/>
      <w:lvlText w:val="%9."/>
      <w:lvlJc w:val="right"/>
      <w:pPr>
        <w:ind w:left="3921" w:hanging="420"/>
      </w:pPr>
    </w:lvl>
  </w:abstractNum>
  <w:abstractNum w:abstractNumId="7">
    <w:nsid w:val="676E219A"/>
    <w:multiLevelType w:val="multilevel"/>
    <w:tmpl w:val="676E219A"/>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737C1A38"/>
    <w:multiLevelType w:val="multilevel"/>
    <w:tmpl w:val="737C1A38"/>
    <w:lvl w:ilvl="0" w:tentative="0">
      <w:start w:val="1"/>
      <w:numFmt w:val="decimal"/>
      <w:suff w:val="nothing"/>
      <w:lvlText w:val="%1."/>
      <w:lvlJc w:val="left"/>
      <w:pPr>
        <w:ind w:left="0" w:firstLine="0"/>
      </w:pPr>
      <w:rPr>
        <w:rFonts w:hint="default" w:ascii="Times New Roman" w:hAnsi="Times New Roman" w:eastAsia="宋体"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1"/>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qgy">
    <w15:presenceInfo w15:providerId="None" w15:userId="q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748AD"/>
    <w:rsid w:val="10EE5500"/>
    <w:rsid w:val="136B05F9"/>
    <w:rsid w:val="2B0A02A0"/>
    <w:rsid w:val="2C276F2B"/>
    <w:rsid w:val="38FC52E9"/>
    <w:rsid w:val="40261F63"/>
    <w:rsid w:val="41E315EF"/>
    <w:rsid w:val="4417184D"/>
    <w:rsid w:val="4BAA45FC"/>
    <w:rsid w:val="4ED81B1B"/>
    <w:rsid w:val="4FA20FCD"/>
    <w:rsid w:val="502A71D3"/>
    <w:rsid w:val="6785045B"/>
    <w:rsid w:val="6B047B5A"/>
    <w:rsid w:val="6C321B68"/>
    <w:rsid w:val="6EB2440F"/>
    <w:rsid w:val="75D048D2"/>
    <w:rsid w:val="79DE38BC"/>
    <w:rsid w:val="7EC32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6" w:lineRule="auto"/>
      <w:outlineLvl w:val="0"/>
    </w:pPr>
    <w:rPr>
      <w:b/>
      <w:bCs/>
      <w:kern w:val="44"/>
      <w:sz w:val="44"/>
      <w:szCs w:val="44"/>
    </w:rPr>
  </w:style>
  <w:style w:type="paragraph" w:styleId="4">
    <w:name w:val="heading 3"/>
    <w:basedOn w:val="1"/>
    <w:next w:val="1"/>
    <w:qFormat/>
    <w:uiPriority w:val="99"/>
    <w:pPr>
      <w:keepNext/>
      <w:keepLines/>
      <w:spacing w:line="360" w:lineRule="auto"/>
      <w:outlineLvl w:val="2"/>
    </w:pPr>
    <w:rPr>
      <w:b/>
      <w:bCs/>
      <w:sz w:val="24"/>
      <w:szCs w:val="32"/>
    </w:rPr>
  </w:style>
  <w:style w:type="paragraph" w:styleId="5">
    <w:name w:val="heading 4"/>
    <w:basedOn w:val="1"/>
    <w:next w:val="6"/>
    <w:qFormat/>
    <w:uiPriority w:val="99"/>
    <w:pPr>
      <w:keepNext/>
      <w:keepLines/>
      <w:spacing w:before="280" w:after="290" w:line="372" w:lineRule="auto"/>
      <w:outlineLvl w:val="3"/>
    </w:pPr>
    <w:rPr>
      <w:rFonts w:ascii="Arial" w:hAnsi="Arial" w:eastAsia="黑体"/>
      <w:b/>
      <w:bCs/>
      <w:sz w:val="28"/>
      <w:szCs w:val="28"/>
    </w:rPr>
  </w:style>
  <w:style w:type="character" w:default="1" w:styleId="14">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6">
    <w:name w:val="Normal Indent"/>
    <w:basedOn w:val="1"/>
    <w:qFormat/>
    <w:uiPriority w:val="99"/>
    <w:pPr>
      <w:ind w:firstLine="420" w:firstLineChars="200"/>
    </w:pPr>
  </w:style>
  <w:style w:type="paragraph" w:styleId="7">
    <w:name w:val="Body Text"/>
    <w:basedOn w:val="1"/>
    <w:qFormat/>
    <w:uiPriority w:val="99"/>
    <w:rPr>
      <w:rFonts w:eastAsia="楷体_GB2312"/>
      <w:sz w:val="28"/>
    </w:rPr>
  </w:style>
  <w:style w:type="paragraph" w:styleId="8">
    <w:name w:val="Plain Text"/>
    <w:basedOn w:val="1"/>
    <w:qFormat/>
    <w:uiPriority w:val="99"/>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style>
  <w:style w:type="paragraph" w:styleId="12">
    <w:name w:val="Body Text First Indent"/>
    <w:basedOn w:val="7"/>
    <w:unhideWhenUsed/>
    <w:qFormat/>
    <w:uiPriority w:val="99"/>
    <w:pPr>
      <w:spacing w:after="120"/>
      <w:ind w:firstLine="420" w:firstLineChars="100"/>
    </w:pPr>
    <w:rPr>
      <w:rFonts w:eastAsia="宋体"/>
      <w:sz w:val="21"/>
    </w:rPr>
  </w:style>
  <w:style w:type="character" w:styleId="15">
    <w:name w:val="Hyperlink"/>
    <w:qFormat/>
    <w:uiPriority w:val="99"/>
    <w:rPr>
      <w:color w:val="000099"/>
      <w:u w:val="single"/>
    </w:rPr>
  </w:style>
  <w:style w:type="paragraph" w:customStyle="1" w:styleId="16">
    <w:name w:val="List Paragraph1"/>
    <w:basedOn w:val="1"/>
    <w:qFormat/>
    <w:uiPriority w:val="0"/>
    <w:pPr>
      <w:spacing w:line="360" w:lineRule="auto"/>
      <w:ind w:firstLine="420" w:firstLineChars="200"/>
    </w:pPr>
    <w:rPr>
      <w:rFonts w:ascii="Times New Roman" w:hAnsi="Times New Roman"/>
      <w:sz w:val="24"/>
    </w:rPr>
  </w:style>
  <w:style w:type="paragraph" w:customStyle="1" w:styleId="1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8">
    <w:name w:val="*正文"/>
    <w:basedOn w:val="1"/>
    <w:qFormat/>
    <w:uiPriority w:val="0"/>
    <w:pPr>
      <w:widowControl/>
      <w:spacing w:after="200" w:line="360" w:lineRule="auto"/>
      <w:ind w:firstLine="480" w:firstLineChars="200"/>
      <w:jc w:val="left"/>
    </w:pPr>
    <w:rPr>
      <w:rFonts w:ascii="仿宋_GB2312" w:eastAsia="仿宋_GB2312"/>
      <w:kern w:val="0"/>
      <w:sz w:val="24"/>
    </w:rPr>
  </w:style>
  <w:style w:type="paragraph" w:customStyle="1" w:styleId="19">
    <w:name w:val="一般文字"/>
    <w:basedOn w:val="1"/>
    <w:qFormat/>
    <w:uiPriority w:val="0"/>
    <w:pPr>
      <w:tabs>
        <w:tab w:val="left" w:pos="463"/>
      </w:tabs>
      <w:spacing w:line="360" w:lineRule="auto"/>
      <w:ind w:firstLine="200" w:firstLineChars="200"/>
      <w:jc w:val="left"/>
    </w:pPr>
    <w:rPr>
      <w:rFonts w:ascii="宋体" w:hAnsi="Plotter" w:cs="Plotter"/>
      <w:sz w:val="24"/>
    </w:rPr>
  </w:style>
  <w:style w:type="paragraph" w:customStyle="1" w:styleId="20">
    <w:name w:val="列出段落3"/>
    <w:basedOn w:val="1"/>
    <w:qFormat/>
    <w:uiPriority w:val="0"/>
    <w:pPr>
      <w:spacing w:line="360" w:lineRule="auto"/>
      <w:ind w:firstLine="420" w:firstLineChars="200"/>
    </w:pPr>
    <w:rPr>
      <w:rFonts w:ascii="Times New Roman" w:hAnsi="Times New Roman"/>
      <w:sz w:val="24"/>
    </w:rPr>
  </w:style>
  <w:style w:type="paragraph" w:styleId="21">
    <w:name w:val="List Paragraph"/>
    <w:basedOn w:val="1"/>
    <w:qFormat/>
    <w:uiPriority w:val="34"/>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image" Target="../../Microsoft/Windows/Microsoft/Windows/Microsoft/Windows/Microsoft/Windows/Microsoft/Windows/Temporary%252525252525252520Internet%252525252525252520Files/ksohtml9676/wps4.png" TargetMode="External"/><Relationship Id="rId8" Type="http://schemas.openxmlformats.org/officeDocument/2006/relationships/image" Target="media/image2.png"/><Relationship Id="rId7" Type="http://schemas.openxmlformats.org/officeDocument/2006/relationships/image" Target="../../Microsoft/Windows/Microsoft/Windows/Microsoft/Windows/Microsoft/Windows/Microsoft/Windows/Temporary%2525252525252520Internet%2525252525252520Files/ksohtml9676/wps3.png" TargetMode="Externa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因为～所以</cp:lastModifiedBy>
  <dcterms:modified xsi:type="dcterms:W3CDTF">2020-05-25T06:21:37Z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