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firstLine="480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监理</w:t>
      </w:r>
      <w:r>
        <w:rPr>
          <w:rFonts w:hint="eastAsia" w:ascii="宋体" w:hAnsi="宋体"/>
          <w:bCs/>
          <w:sz w:val="24"/>
          <w:szCs w:val="24"/>
        </w:rPr>
        <w:t>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outlineLvl w:val="9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1、形式评审、资格审查和响应性评审：评标委员会成员根据招标文件中评标办法的规定的程序，对所有投标单位进行资格评审、形式评审和响应性评审。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 xml:space="preserve"> 其中郑州恒基建设监理有限公司，在资格评审中的近年财务状况的年份要求中，未按照招标文件要求提供2014年财务报告，未通过资格评审。其他投标人递交的投标文件均实质性响应了招标文件有关要求。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25C69"/>
    <w:rsid w:val="611D3266"/>
    <w:rsid w:val="683A72B4"/>
    <w:rsid w:val="6DC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lenovo10</dc:creator>
  <cp:lastModifiedBy>ぷ旋ㄨ律ミ</cp:lastModifiedBy>
  <dcterms:modified xsi:type="dcterms:W3CDTF">2018-07-23T06:34:07Z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