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E76D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黑岗口调蓄水库好人公园配套用房</w:t>
      </w:r>
    </w:p>
    <w:p w14:paraId="1BC7588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经营权情况说明</w:t>
      </w:r>
    </w:p>
    <w:p w14:paraId="73E23436">
      <w:pPr>
        <w:keepNext w:val="0"/>
        <w:keepLines w:val="0"/>
        <w:pageBreakBefore w:val="0"/>
        <w:widowControl/>
        <w:kinsoku/>
        <w:wordWrap/>
        <w:overflowPunct/>
        <w:topLinePunct w:val="0"/>
        <w:autoSpaceDE/>
        <w:autoSpaceDN/>
        <w:bidi w:val="0"/>
        <w:adjustRightInd/>
        <w:snapToGrid/>
        <w:spacing w:before="28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rPr>
        <w:t>一、项目概况及经营权期限</w:t>
      </w:r>
    </w:p>
    <w:p w14:paraId="361B58EF">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1、项目位于黑岗口调蓄水库一大街与晋安路交叉口东北角，便民配套用房面积约为128㎡。承租人可经营如下业态：</w:t>
      </w:r>
    </w:p>
    <w:p w14:paraId="14985047">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研学教育：持证合规、课程标准化、轻资产运营、以实践体验与素质培养为核心的研学品类（自然探索、人文历史科普、社会实践、兴趣拓展等）。严禁无证办学、超范围经营、虚假宣传与夸大承诺、存在消防安全隐患的封闭式教学、向未成年学员提供食宿托管服务。</w:t>
      </w:r>
    </w:p>
    <w:p w14:paraId="6D0A411C">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2、禁止经营及作业行为</w:t>
      </w:r>
    </w:p>
    <w:p w14:paraId="777938ED">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（1）禁止转租、转包、分包场地，禁止私自摆摊经营；</w:t>
      </w:r>
    </w:p>
    <w:p w14:paraId="70FFC3EF">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（2）禁止低俗演艺、大功率音响外放、聚众活动、宠物经营性互动；</w:t>
      </w:r>
    </w:p>
    <w:p w14:paraId="6FCFCB28">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（3）禁止占用消防逃生通道、园区主出入口、应急救援通道摆放设施、座椅；</w:t>
      </w:r>
    </w:p>
    <w:p w14:paraId="3A73F0D3">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（4）禁止夜间超过10点经营、灯光强光扰民、违规用电用气。</w:t>
      </w:r>
    </w:p>
    <w:p w14:paraId="47FB4F7C">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3、该项目经营权期限为5年。</w:t>
      </w:r>
    </w:p>
    <w:p w14:paraId="22E83129">
      <w:pPr>
        <w:keepNext w:val="0"/>
        <w:keepLines w:val="0"/>
        <w:pageBreakBefore w:val="0"/>
        <w:widowControl/>
        <w:kinsoku/>
        <w:wordWrap/>
        <w:overflowPunct/>
        <w:topLinePunct w:val="0"/>
        <w:autoSpaceDE/>
        <w:autoSpaceDN/>
        <w:bidi w:val="0"/>
        <w:adjustRightInd/>
        <w:snapToGrid/>
        <w:spacing w:before="28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rPr>
        <w:t>二、承包人应具备的基本条件及要求</w:t>
      </w:r>
    </w:p>
    <w:p w14:paraId="092D9613">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1、承租人为境内外企业法人、具有独立承担民事责任能力的其他组织和具有完全民事行为能力的自然人。</w:t>
      </w:r>
    </w:p>
    <w:p w14:paraId="362DFB81">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2、经营要求承租人必须合法、文明经营，自负盈亏，承担经营过程中发生的一切税费及相关责任。</w:t>
      </w:r>
    </w:p>
    <w:p w14:paraId="36C543C2">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3、承租人对竞得的标的只有经营权，所有权与处置权属于开封西湖文旅投资有限公司。经营权承包期间，乙方全权承担全部安全责任：包含游客摔伤、用电起火、噪音扰民、游客纠纷、第三方索赔等一切事故，全部由乙方赔付处理，与甲方无关；乙方自行采取防火、防盗等安全措施。加强用电安全，禁止私接大功率电器，不得乱拖、乱接电线。</w:t>
      </w:r>
    </w:p>
    <w:p w14:paraId="7D89032B">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4、承租人应及时劝阻游客危险行为，做好客流疏导，避免局部区域人员聚集。加强场地巡检，及时排查地面破损、设施松动、绿植倒伏等安全隐患，做到隐患立查立改。</w:t>
      </w:r>
    </w:p>
    <w:p w14:paraId="77C54267">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5、承包人的经营业态及经营方案，需上报西湖公司审核通过，方可进行入场。</w:t>
      </w:r>
    </w:p>
    <w:p w14:paraId="36401335">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6、承包人自“拍卖成交确认书”签订之日起10个工作日内与发包方签订合同。签订经营权承包合同前，承包人需交纳履约保证金5000元。履约保证金仅用于抵扣乙方损坏甲方资产的修复赔偿、因乙方原因导致甲方遭上级部门处罚的损失、乙方欠交的各项费用，以及因乙方经营牵连甲方产生的其他直接损失。合同到期完成场地交接后，无未结清费用及赔付事项的，甲方无息全额退还。</w:t>
      </w:r>
    </w:p>
    <w:p w14:paraId="15B1E14F">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7、承包人开展研学培训业务涉及预收学员费用的，应严格遵守教育、市场监管等相关部门关于预收费监管的规定，单次预收学费不得超过3个月或60课时，不得诱导学员一次性缴纳超过规定期限的费用。因乙方预收费、退费、经营不善等引发的一切纠纷及法律责任，全部由乙方独立承担，与甲方无关。</w:t>
      </w:r>
    </w:p>
    <w:p w14:paraId="675DCD2D">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r>
        <w:rPr>
          <w:rFonts w:hint="eastAsia" w:ascii="仿宋" w:hAnsi="仿宋" w:eastAsia="仿宋" w:cs="仿宋"/>
          <w:b w:val="0"/>
          <w:sz w:val="28"/>
          <w:szCs w:val="28"/>
        </w:rPr>
        <w:t>8、承包人需在经营期间遵守库区的统一管理，不得从事任何违法违规活动。需做好游客的安全引导工作，确保游客的人身安全，并保持经营区域的环境卫生，不得对周边环境造成污染或破坏。承包人需在规定的运营区域内经营，不得超出划定范围。</w:t>
      </w:r>
    </w:p>
    <w:p w14:paraId="7C6D9CE8">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p>
    <w:p w14:paraId="351E2351">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rPr>
      </w:pPr>
    </w:p>
    <w:p w14:paraId="7B7747FD">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338A21D7">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70BF86D7">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1E228057">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0970D970">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45328799">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503499A4">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6FECCAE7">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05D933B6">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2A417075">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32B5900F">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p>
    <w:p w14:paraId="5D854935">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 w:hAnsi="仿宋" w:eastAsia="仿宋" w:cs="仿宋"/>
          <w:b w:val="0"/>
          <w:sz w:val="28"/>
          <w:szCs w:val="28"/>
          <w:highlight w:val="none"/>
          <w:u w:val="none"/>
        </w:rPr>
      </w:pPr>
      <w:r>
        <w:rPr>
          <w:rFonts w:hint="eastAsia" w:ascii="仿宋" w:hAnsi="仿宋" w:eastAsia="仿宋" w:cs="仿宋"/>
          <w:b w:val="0"/>
          <w:sz w:val="28"/>
          <w:szCs w:val="28"/>
          <w:highlight w:val="none"/>
          <w:u w:val="none"/>
        </w:rPr>
        <w:t>注：最终以正式签订合同为准</w:t>
      </w:r>
    </w:p>
    <w:p w14:paraId="65C2F911">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 w:hAnsi="仿宋" w:eastAsia="仿宋" w:cs="仿宋"/>
          <w:b w:val="0"/>
          <w:sz w:val="28"/>
          <w:szCs w:val="28"/>
          <w:highlight w:val="none"/>
          <w:u w:val="none"/>
        </w:rPr>
      </w:pPr>
    </w:p>
    <w:p w14:paraId="410D9640">
      <w:pPr>
        <w:keepNext w:val="0"/>
        <w:keepLines w:val="0"/>
        <w:pageBreakBefore w:val="0"/>
        <w:widowControl/>
        <w:kinsoku/>
        <w:wordWrap/>
        <w:overflowPunct/>
        <w:topLinePunct w:val="0"/>
        <w:autoSpaceDE/>
        <w:autoSpaceDN/>
        <w:bidi w:val="0"/>
        <w:adjustRightInd/>
        <w:snapToGrid/>
        <w:spacing w:after="360" w:line="360" w:lineRule="exact"/>
        <w:jc w:val="center"/>
        <w:textAlignment w:val="auto"/>
        <w:rPr>
          <w:rFonts w:hint="eastAsia" w:ascii="仿宋" w:hAnsi="仿宋" w:eastAsia="仿宋" w:cs="仿宋"/>
          <w:b/>
          <w:sz w:val="32"/>
          <w:szCs w:val="32"/>
          <w:u w:val="none"/>
        </w:rPr>
      </w:pPr>
      <w:r>
        <w:rPr>
          <w:rFonts w:hint="eastAsia" w:ascii="仿宋" w:hAnsi="仿宋" w:eastAsia="仿宋" w:cs="仿宋"/>
          <w:b/>
          <w:sz w:val="32"/>
          <w:szCs w:val="32"/>
          <w:u w:val="none"/>
        </w:rPr>
        <w:t>黑岗口调蓄水库好人公园配套用房</w:t>
      </w:r>
    </w:p>
    <w:p w14:paraId="068F5307">
      <w:pPr>
        <w:keepNext w:val="0"/>
        <w:keepLines w:val="0"/>
        <w:pageBreakBefore w:val="0"/>
        <w:widowControl/>
        <w:kinsoku/>
        <w:wordWrap/>
        <w:overflowPunct/>
        <w:topLinePunct w:val="0"/>
        <w:autoSpaceDE/>
        <w:autoSpaceDN/>
        <w:bidi w:val="0"/>
        <w:adjustRightInd/>
        <w:snapToGrid/>
        <w:spacing w:after="360" w:line="3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b/>
          <w:sz w:val="32"/>
          <w:szCs w:val="32"/>
          <w:u w:val="none"/>
        </w:rPr>
        <w:t>经营权承包协议</w:t>
      </w:r>
      <w:r>
        <w:rPr>
          <w:rFonts w:hint="eastAsia" w:ascii="仿宋" w:hAnsi="仿宋" w:eastAsia="仿宋" w:cs="仿宋"/>
          <w:b/>
          <w:sz w:val="32"/>
          <w:szCs w:val="32"/>
          <w:u w:val="none"/>
          <w:lang w:eastAsia="zh-CN"/>
        </w:rPr>
        <w:t>（</w:t>
      </w:r>
      <w:r>
        <w:rPr>
          <w:rFonts w:hint="eastAsia" w:ascii="仿宋" w:hAnsi="仿宋" w:eastAsia="仿宋" w:cs="仿宋"/>
          <w:b/>
          <w:sz w:val="32"/>
          <w:szCs w:val="32"/>
          <w:u w:val="none"/>
          <w:lang w:val="en-US" w:eastAsia="zh-CN"/>
        </w:rPr>
        <w:t>模板</w:t>
      </w:r>
      <w:r>
        <w:rPr>
          <w:rFonts w:hint="eastAsia" w:ascii="仿宋" w:hAnsi="仿宋" w:eastAsia="仿宋" w:cs="仿宋"/>
          <w:b/>
          <w:sz w:val="32"/>
          <w:szCs w:val="32"/>
          <w:u w:val="none"/>
          <w:lang w:eastAsia="zh-CN"/>
        </w:rPr>
        <w:t>）</w:t>
      </w:r>
    </w:p>
    <w:p w14:paraId="63602DED">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sz w:val="28"/>
          <w:szCs w:val="28"/>
          <w:u w:val="single"/>
        </w:rPr>
        <w:t>甲方（出租方）：</w:t>
      </w:r>
      <w:r>
        <w:rPr>
          <w:rFonts w:hint="eastAsia" w:ascii="仿宋" w:hAnsi="仿宋" w:eastAsia="仿宋" w:cs="仿宋"/>
          <w:b w:val="0"/>
          <w:sz w:val="28"/>
          <w:szCs w:val="28"/>
          <w:u w:val="single"/>
        </w:rPr>
        <w:t>开封西湖文旅投资有限公司</w:t>
      </w:r>
    </w:p>
    <w:p w14:paraId="1461D62D">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sz w:val="28"/>
          <w:szCs w:val="28"/>
          <w:u w:val="single"/>
        </w:rPr>
        <w:t>住址：</w:t>
      </w:r>
      <w:r>
        <w:rPr>
          <w:rFonts w:hint="eastAsia" w:ascii="仿宋" w:hAnsi="仿宋" w:eastAsia="仿宋" w:cs="仿宋"/>
          <w:b w:val="0"/>
          <w:sz w:val="28"/>
          <w:szCs w:val="28"/>
          <w:u w:val="single"/>
        </w:rPr>
        <w:t>河南自贸试验区开封片区汉兴西路与八大街交叉口</w:t>
      </w:r>
    </w:p>
    <w:p w14:paraId="4347CB35">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sz w:val="28"/>
          <w:szCs w:val="28"/>
          <w:u w:val="single"/>
        </w:rPr>
        <w:t>统一社会信用代码：</w:t>
      </w:r>
      <w:r>
        <w:rPr>
          <w:rFonts w:hint="eastAsia" w:ascii="仿宋" w:hAnsi="仿宋" w:eastAsia="仿宋" w:cs="仿宋"/>
          <w:b w:val="0"/>
          <w:sz w:val="28"/>
          <w:szCs w:val="28"/>
          <w:u w:val="single"/>
        </w:rPr>
        <w:t>914102003175043976</w:t>
      </w:r>
    </w:p>
    <w:p w14:paraId="2A1926F5">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sz w:val="28"/>
          <w:szCs w:val="28"/>
          <w:u w:val="single"/>
        </w:rPr>
        <w:t>乙方（承租方）：</w:t>
      </w:r>
      <w:r>
        <w:rPr>
          <w:rFonts w:hint="eastAsia" w:ascii="仿宋" w:hAnsi="仿宋" w:eastAsia="仿宋" w:cs="仿宋"/>
          <w:b w:val="0"/>
          <w:sz w:val="28"/>
          <w:szCs w:val="28"/>
          <w:u w:val="single"/>
        </w:rPr>
        <w:t xml:space="preserve">                </w:t>
      </w:r>
    </w:p>
    <w:p w14:paraId="45BE5947">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sz w:val="28"/>
          <w:szCs w:val="28"/>
          <w:u w:val="single"/>
        </w:rPr>
        <w:t>住址：</w:t>
      </w:r>
      <w:r>
        <w:rPr>
          <w:rFonts w:hint="eastAsia" w:ascii="仿宋" w:hAnsi="仿宋" w:eastAsia="仿宋" w:cs="仿宋"/>
          <w:b w:val="0"/>
          <w:sz w:val="28"/>
          <w:szCs w:val="28"/>
          <w:u w:val="single"/>
        </w:rPr>
        <w:t xml:space="preserve">                </w:t>
      </w:r>
    </w:p>
    <w:p w14:paraId="2C0DDF63">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sz w:val="28"/>
          <w:szCs w:val="28"/>
          <w:u w:val="single"/>
        </w:rPr>
        <w:t>身份证号/统一社会信用代码：</w:t>
      </w:r>
      <w:r>
        <w:rPr>
          <w:rFonts w:hint="eastAsia" w:ascii="仿宋" w:hAnsi="仿宋" w:eastAsia="仿宋" w:cs="仿宋"/>
          <w:b w:val="0"/>
          <w:sz w:val="28"/>
          <w:szCs w:val="28"/>
          <w:u w:val="single"/>
        </w:rPr>
        <w:t xml:space="preserve">                </w:t>
      </w:r>
    </w:p>
    <w:p w14:paraId="27D7B873">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sz w:val="28"/>
          <w:szCs w:val="28"/>
          <w:u w:val="single"/>
        </w:rPr>
        <w:t>手机号：</w:t>
      </w:r>
      <w:r>
        <w:rPr>
          <w:rFonts w:hint="eastAsia" w:ascii="仿宋" w:hAnsi="仿宋" w:eastAsia="仿宋" w:cs="仿宋"/>
          <w:b w:val="0"/>
          <w:sz w:val="28"/>
          <w:szCs w:val="28"/>
          <w:u w:val="single"/>
        </w:rPr>
        <w:t xml:space="preserve">                </w:t>
      </w:r>
    </w:p>
    <w:p w14:paraId="66F3208D">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根据《中华人民共和国民法典》等相关法律、法规的规定，甲、乙双方在“平等互利、协商一致”的基础上，就乙方承包黑岗口调蓄水库好人公园配套用房经营权一事，为明确双方的权利、义务及相关事宜，特订立如下协议：</w:t>
      </w:r>
    </w:p>
    <w:p w14:paraId="774818A2">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第一条：经营场地及经营业态</w:t>
      </w:r>
    </w:p>
    <w:p w14:paraId="39AB177D">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1、乙方承包甲方位于黑岗口调蓄水库一大街与晋安路交叉口东北角的便民配套用房，面积约为128㎡。承租人可经营下述业态：</w:t>
      </w:r>
    </w:p>
    <w:p w14:paraId="25B4DB69">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研学教育：持证合规、课程标准化、轻资产运营、以实践体验与素质培养为核心的研学品类（自然探索、人文历史科普、社会实践、兴趣拓展等）。严禁无证办学、超范围经营、虚假宣传与夸大承诺、存在消防安全隐患的封闭式教学、向未成年学员提供食宿托管服务。</w:t>
      </w:r>
    </w:p>
    <w:p w14:paraId="2008B328">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2、禁止经营及作业行为</w:t>
      </w:r>
    </w:p>
    <w:p w14:paraId="6558BB31">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（1）禁止转租、转包、分包场地，禁止私自摆摊经营；</w:t>
      </w:r>
    </w:p>
    <w:p w14:paraId="7FDB0E63">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（2）禁止低俗演艺、大功率音响外放、聚众活动、宠物经营性互动；</w:t>
      </w:r>
    </w:p>
    <w:p w14:paraId="4086AD1F">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（3）禁止占用消防逃生通道、园区主出入口、应急救援通道摆放设施、座椅；</w:t>
      </w:r>
    </w:p>
    <w:p w14:paraId="46A09632">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b w:val="0"/>
          <w:sz w:val="28"/>
          <w:szCs w:val="28"/>
          <w:u w:val="none"/>
        </w:rPr>
      </w:pPr>
      <w:r>
        <w:rPr>
          <w:rFonts w:hint="eastAsia" w:ascii="仿宋" w:hAnsi="仿宋" w:eastAsia="仿宋" w:cs="仿宋"/>
          <w:b w:val="0"/>
          <w:sz w:val="28"/>
          <w:szCs w:val="28"/>
          <w:u w:val="none"/>
        </w:rPr>
        <w:t>（4）禁止夜间超过10点经营、灯光强光扰民、违规用电用气。</w:t>
      </w:r>
    </w:p>
    <w:p w14:paraId="75D20D9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b w:val="0"/>
          <w:sz w:val="28"/>
          <w:szCs w:val="28"/>
          <w:u w:val="none"/>
        </w:rPr>
      </w:pPr>
      <w:r>
        <w:rPr>
          <w:rFonts w:hint="eastAsia" w:ascii="仿宋" w:hAnsi="仿宋" w:eastAsia="仿宋" w:cs="仿宋"/>
          <w:b w:val="0"/>
          <w:sz w:val="28"/>
          <w:szCs w:val="28"/>
          <w:u w:val="none"/>
        </w:rPr>
        <w:t>（5）严禁以各种形式经营餐饮类业态。</w:t>
      </w:r>
    </w:p>
    <w:p w14:paraId="0EBA9F0C">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3、该项目经营权期限为5年。</w:t>
      </w:r>
    </w:p>
    <w:p w14:paraId="5C831A79">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第二条：承包期限及免承包款期</w:t>
      </w:r>
    </w:p>
    <w:p w14:paraId="78B5CE71">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1、经营权免承包款期为30天，自</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年</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月</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日至</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年</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月</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日。</w:t>
      </w:r>
    </w:p>
    <w:p w14:paraId="74386F5E">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2、经营权承包期限为5年，自</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年</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月</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日至</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年</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月</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日。</w:t>
      </w:r>
    </w:p>
    <w:p w14:paraId="054D3D11">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第三条：款项收取、履约保证金</w:t>
      </w:r>
    </w:p>
    <w:p w14:paraId="32F0D6BD">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 xml:space="preserve">1、经营权承包款为竞拍成交年承包款，即（人民币）大写 </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 xml:space="preserve"> 元每年，小写：¥</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 xml:space="preserve"> 元，其中不含税金额（人民币）大写：</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 xml:space="preserve"> 年，小写：¥</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 xml:space="preserve"> 元；税金（人民币）大写：</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 xml:space="preserve"> 年，小写：¥</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 xml:space="preserve"> 元。</w:t>
      </w:r>
    </w:p>
    <w:p w14:paraId="4631FC05">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2、付款方式：</w:t>
      </w:r>
    </w:p>
    <w:p w14:paraId="652B66D8">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第一年经营权承包款在本合同生效之日起7日内，由乙方支付至甲方指定账户；第二年至第五年的经营权承包款分别于乙方前一年经营权承包期满30日前支付至甲方指定账户。</w:t>
      </w:r>
    </w:p>
    <w:p w14:paraId="5A6CE0FA">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（1）户名：</w:t>
      </w:r>
      <w:r>
        <w:rPr>
          <w:rFonts w:hint="eastAsia" w:ascii="仿宋" w:hAnsi="仿宋" w:eastAsia="仿宋" w:cs="仿宋"/>
          <w:b w:val="0"/>
          <w:sz w:val="28"/>
          <w:szCs w:val="28"/>
          <w:u w:val="single"/>
        </w:rPr>
        <w:t>开封西湖文旅投资有限公司</w:t>
      </w:r>
    </w:p>
    <w:p w14:paraId="79B12111">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（2）开户行：</w:t>
      </w:r>
      <w:r>
        <w:rPr>
          <w:rFonts w:hint="eastAsia" w:ascii="仿宋" w:hAnsi="仿宋" w:eastAsia="仿宋" w:cs="仿宋"/>
          <w:b w:val="0"/>
          <w:sz w:val="28"/>
          <w:szCs w:val="28"/>
          <w:u w:val="single"/>
        </w:rPr>
        <w:t>浦发银行开封分行</w:t>
      </w:r>
    </w:p>
    <w:p w14:paraId="5F250EF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（3）银行账号：</w:t>
      </w:r>
      <w:r>
        <w:rPr>
          <w:rFonts w:hint="eastAsia" w:ascii="仿宋" w:hAnsi="仿宋" w:eastAsia="仿宋" w:cs="仿宋"/>
          <w:b w:val="0"/>
          <w:sz w:val="28"/>
          <w:szCs w:val="28"/>
          <w:u w:val="single"/>
        </w:rPr>
        <w:t>18610078801700001667</w:t>
      </w:r>
    </w:p>
    <w:p w14:paraId="6FFA99FE">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3、甲方收取承包款后须向乙方出具正式发票。</w:t>
      </w:r>
    </w:p>
    <w:p w14:paraId="1ED41AF5">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4、履约保证金（人民币）大写：伍仟元整，小写：¥5000元。协议签订前乙方向甲方指定账户通过转账方式支付履约保证金。履约保证金仅用于抵扣以下情形给甲方造成的损失：（1）乙方损坏甲方资产（包括但不限于房屋本体、场地设施、绿化草坪等）的修复赔偿费用；（2）因乙方经营行为导致甲方遭上级主管部门行政处罚的罚款及相关损失；（3）乙方欠交的承包款、水电费等各项费用；（4）因乙方原因牵连甲方产生的学员退费赔付、舆情处置等其他直接损失。合同到期，双方完成场地交接且无上述未结清费用及赔付事项的，甲方无息全额退还履约保证金。</w:t>
      </w:r>
    </w:p>
    <w:p w14:paraId="571E71B8">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5、其他自理费用：经营期间水电费、网络费、垃圾清运费、环境卫生费、安保费、人员工资、办证税费、经营保险、行政处罚等一切费用，全部由乙方自行承担。</w:t>
      </w:r>
    </w:p>
    <w:p w14:paraId="2EA35E00">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第四条：场地及市容环境卫生管理</w:t>
      </w:r>
    </w:p>
    <w:p w14:paraId="76167FF5">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1、卫生管理：项目经营区域内乙方包干保洁，日产日清，垃圾桶密闭收纳，经营结束后全域清扫、复原场地原貌，无遗留垃圾、杂物。</w:t>
      </w:r>
    </w:p>
    <w:p w14:paraId="732FD426">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2、噪音管控：十点以后禁止外放音乐、叫卖、广播宣传，严控音量，杜绝扰民投诉。</w:t>
      </w:r>
    </w:p>
    <w:p w14:paraId="67B7DFE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3、消防管理：消防通道宽度≥4米，全天畅通，严禁堆放货品、器材堵塞通道，乙方全员掌握基础消防应急流程。</w:t>
      </w:r>
    </w:p>
    <w:p w14:paraId="7E42C05A">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第五条：甲方权利与义务</w:t>
      </w:r>
    </w:p>
    <w:p w14:paraId="0AFFEF24">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1、甲方有权对乙方在本协议约定范围内经营管理行为的合法、合规性进行监督。</w:t>
      </w:r>
    </w:p>
    <w:p w14:paraId="508EBB05">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2、甲方维护园区整体公共秩序、公共道路、公共消防正常使用；划定固定经营边界，统一管控园区营业时间、噪音、外摆、市容标准。</w:t>
      </w:r>
    </w:p>
    <w:p w14:paraId="780961E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甲方有权每日巡查乙方经营、卫生、消防情况，下发整改通知书，乙方必须限时整改；如乙方拒不整改，甲方可关停场地、单方解约。如整改不到位的，经一次整改仍未达标的，违约金为人民币2000元，两次未整改达标的，违约金为人民币5000元。如多次整改不到位，视为乙方违约，甲方有权单方解约。</w:t>
      </w:r>
    </w:p>
    <w:p w14:paraId="5E8DA450">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4、甲方有权根据库区整体规划、政府市容环保、自然资源规划、城管、消防等政府部门要求，调整乙方经营区域、经营时段、外摆范围，乙方无条件配合，不得索要赔偿。</w:t>
      </w:r>
    </w:p>
    <w:p w14:paraId="43A8300A">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5、甲方不参与乙方经营，不承担乙方经营亏损、劳资纠纷、游客人身财产损失、安全事故全部责任。</w:t>
      </w:r>
    </w:p>
    <w:p w14:paraId="2E7520A4">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6、遇库区活动、政府检查、应急防汛、市容整治，有权临时关停、调整项目经营点位，乙方无条件配合，不得索要停业补偿；</w:t>
      </w:r>
    </w:p>
    <w:p w14:paraId="45B5C99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7、有权受理游客投诉，对乙方违规、失职行为直接处罚、单方解约清退。</w:t>
      </w:r>
    </w:p>
    <w:p w14:paraId="7F088D79">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8、经营权承包期结束或经营权承包期间终止协议时，收验场地及设施维护状态；收验合格，费用结清，办理收验交接手续。</w:t>
      </w:r>
    </w:p>
    <w:p w14:paraId="590FBFC9">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9、经营权承包期间内遇不可抗力、水库规划调整、政府行为、相关政策变化或行业主管部门政策需终止协议的，甲方应当及时通知乙方解除协议，并无需承担任何违约责任；乙方应当在接到甲方通知后一个月内办理退租手续。乙方已支付的承包款，甲方按照乙方实际使用时间结算后无息退还剩余部分；履约保证金在乙方结清所有费用且场地交接完毕后扣除乙方因欠交相关费用及违约金款项后无息退还。乙方不得就本协议的解除向甲方主张任何形式的补偿、赔偿或损失。</w:t>
      </w:r>
    </w:p>
    <w:p w14:paraId="53AD6D70">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第六条：乙方权利和义务</w:t>
      </w:r>
    </w:p>
    <w:p w14:paraId="339FA3E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1、乙方经营业态必须与竞拍公告发布业态保持一致，并应在本协议签订之日起10日内将其详细业态设计方案上报至甲方审核，经甲方审核通过，方可进行入场。如经营业态未经甲方审核同意，甲方有权解除合同。</w:t>
      </w:r>
    </w:p>
    <w:p w14:paraId="221B4D2D">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2、乙方严格执行国家法律法规和甲方的相关管理规定，且只能在本次中标之范围内合法文明经营，不得超区域或占道经营。</w:t>
      </w:r>
    </w:p>
    <w:p w14:paraId="3FD635E3">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经营权承包期间，乙方全权承担全部安全责任：包含游客摔伤、用电起火、噪音扰民、游客纠纷、第三方索赔等一切事故，全部由乙方赔付处理，与甲方无关；乙方自行采取防火、防盗等安全措施。加强用电安全，禁止私接大功率电器，不得乱拖、乱接电线；若给甲方造成名誉、罚款损失，乙方全额赔偿甲方。</w:t>
      </w:r>
    </w:p>
    <w:p w14:paraId="05FB3BB2">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4、乙方规范用电用火，配齐灭火器、消防器材，落实夜间值守，节假日增派安保人员；服从园区统一节假日管理、防疫、市容、应急管控要求。</w:t>
      </w:r>
    </w:p>
    <w:p w14:paraId="416C848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5、接受甲方及政府职能机构对经营范围、卫生、质量、价格、广告、服务等方面的监督、检查，并服从管理，及时整改。</w:t>
      </w:r>
    </w:p>
    <w:p w14:paraId="29A1DA9D">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6、乙方经营业态不得产生油烟、异味、噪音等可能影响周边环境的经营项目，严禁经营餐饮类项目。</w:t>
      </w:r>
    </w:p>
    <w:p w14:paraId="001A2EE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7、按库区电费收费标准规定及时向甲方交纳电费。</w:t>
      </w:r>
    </w:p>
    <w:p w14:paraId="118F2439">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8、乙方应保持经营区域的环境卫生及配套设施完好，并负责日常维修维护，不得在经营区域私搭乱建、破坏绿地及损坏周边配套设施。乙方如因经营需要在承包场地内进行任何新建、改建或搭建，仅限可移动式临时设施，且必须事先向甲方提交书面申请及方案，经甲方书面同意后方可实施；乙方严禁搭建不可移动性临建及任何固定建筑物、构筑物或设施。乙方违反本条前述约定的，甲方有权要求乙方限期拆除、恢复原状，乙方应承担违约责任并支付违约金人民币三千元每次，违约金不足以弥补甲方损失的乙方应另行赔偿；乙方逾期不拆除，甲方有权单方解除协议，履约保证金不予退还，乙方应赔偿甲方全部损失。乙方如因经营需要确需搭建可移动式临时设施，必须向自然资源和规划局、城市管理局等相关政府部门办理并取得全部合法有效的行政许可手续，因搭建物未取得合法手续、手续瑕疵或失效，导致其被认定为违法建筑或被责令整改、罚款、没收、强制拆除的，由此产生的一切法律责任、行政处罚、经济损失（包括但不限于乙方自身损失、对第三方及甲方造成的损失、甲方商誉损失及处理纠纷的费用）均由乙方独立承担；发生前述任何情形的，甲方有权立即单方解除协议，乙方应在限期内拆除搭建物、恢复场地原状，履约保证金不予退还，乙方应赔偿甲方全部损失。</w:t>
      </w:r>
    </w:p>
    <w:p w14:paraId="0F5F2273">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9、自行办理营业执照、相关行业证照、税务登记等证照，承担经营所发生的一切税费并承担相关责任，并在经营过程中规范用工，因乙方违法违规经营或其他违法违规行为造成的后果及损失由乙方自行承担，且乙方不得以甲方同意其经营业态方案为由，而主张甲方存在过错。</w:t>
      </w:r>
    </w:p>
    <w:p w14:paraId="7FCE1112">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10、乙方不得将该项目经营权转让给第三方，不得将经营权承包场地用作抵（质）押、转让，不得以甲方名义进行经营和广告宣传活动。</w:t>
      </w:r>
    </w:p>
    <w:p w14:paraId="35EA20F4">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11、乙方所有宣传、定价、活动，需提前报备甲方审核，不得使用园区名义私自对外招商、签约、宣传。</w:t>
      </w:r>
    </w:p>
    <w:p w14:paraId="5F98E408">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12、乙方经营期间所雇佣的工作人员的工资、福利待遇、工伤、医疗、养老等保险费用及其他费用、工作人员人身财产安全均由乙方负责。乙方保证所雇佣人员符合相关法律法规的资质要求。</w:t>
      </w:r>
    </w:p>
    <w:p w14:paraId="0D9B909F">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13、在经营过程中，如乙方出现其他经济问题，乙方自行处理与甲方无关，若因乙方原因导致项目无法正常运营或对甲方造成不利影响的（包括但不限于因乙方与第三人纠纷导致甲方需协助法院执行或对其他机关进行协助的），甲方有权立即解除协议。</w:t>
      </w:r>
    </w:p>
    <w:p w14:paraId="2F51E18C">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14、乙方应及时劝阻游客危险行为，做好人流疏导，避免局部区域人员聚集。加强场地巡检，及时排查地面破损、设施松动、绿植倒伏等安全隐患，做到隐患立查立改。</w:t>
      </w:r>
    </w:p>
    <w:p w14:paraId="16B8AF1C">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15、乙方应积极配合甲方及各级政府、行政主管部门在经营区域内依法开展的各项活动，包括但不限于应急救援演练、消防演练、安全检查、突发事件处置、公共卫生防控及其他公益性、行政性活动。对于上述活动，乙方应无条件予以配合，并按照要求提供必要的场地、设施及其他支持。</w:t>
      </w:r>
    </w:p>
    <w:p w14:paraId="1CB93DCE">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16、乙方应建立健全学员退费制度，与学员签订规范的培训服务合同，明确退费规则与流程。因乙方经营不善、停业、搬迁、课程质量问题或其他乙方原因导致学员退费、产生纠纷的，全部由乙方独立承担处理责任与退费赔偿，与甲方无关；若因此引发学员投诉、上访、舆情或行政处罚牵连甲方的，乙方应承担全部责任及由此给甲方造成的一切损失，甲方有权从履约保证金中直接扣除相应费用。</w:t>
      </w:r>
    </w:p>
    <w:p w14:paraId="499A819E">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第七条：违约责任</w:t>
      </w:r>
    </w:p>
    <w:p w14:paraId="61C0D673">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1、承包期间严禁乙方擅自终止承包、转包、分包，否则视为乙方违约，应向甲方支付协议总价款15%的违约金，且甲方有权单方解除协议，已收取承包款不予退还。</w:t>
      </w:r>
    </w:p>
    <w:p w14:paraId="08E1B29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承包期间，任何一方无正当理由单方面解除协议的，视为违约行为，违约方应赔偿因此给守约方造成的直接损失。如乙方因特殊原因或正当理由提前解除协议的，需提前一个月向甲方递交书面申请，经甲方同意后方可解约；已缴纳的承包款按乙方已实际承包的月份结算，不足一个月的按一个月计算。</w:t>
      </w:r>
    </w:p>
    <w:p w14:paraId="6EE23058">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3、因乙方违约而导致甲方解除协议的，已缴纳的经营权承包款不予退还。</w:t>
      </w:r>
    </w:p>
    <w:p w14:paraId="6DE94A9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6、无证设施、噪音扰民、占道经营：单次罚款2000-5000元；</w:t>
      </w:r>
    </w:p>
    <w:p w14:paraId="23ACF8F9">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7、乙方在经营期间因自身行为给甲方造成负面声誉影响的，导致甲方被行政处罚、舆情追责，包括但不限于网络负面报道等舆情、上级各部门各种形式的批评、通报、市长热线等，视为乙方违约，乙方应向甲方支付每次2000元的违约金，乙方全额承担罚款及维权费用。</w:t>
      </w:r>
    </w:p>
    <w:p w14:paraId="13AE390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8、协议终止后，乙方应在协议终止之日起7日内将经营场地恢复原貌或按甲方要求进行交接。如需乙方及时清理撤除归属自己的设施及物品的，乙方应予清理撤除，未在甲方要求的时间内进行清理撤除的，视为乙方放弃其承包场地内的物品和设备，甲方有权自行处置。</w:t>
      </w:r>
    </w:p>
    <w:p w14:paraId="5D5C8351">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9、上述违约金甲方有权直接自履约保证金中扣除，不足部分乙方向甲方支付。</w:t>
      </w:r>
    </w:p>
    <w:p w14:paraId="12B44E27">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第八条：协议的解除</w:t>
      </w:r>
    </w:p>
    <w:p w14:paraId="1C4F3AD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乙方有下列任一违规情形，甲方无需提前告知，可直接单方解除合同、清退乙方、没收履约保证金，剩余租金不予退还：</w:t>
      </w:r>
    </w:p>
    <w:p w14:paraId="3756DDFF">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（1）发生游人安全伤亡事故，拒不赔付、引发上访舆情；</w:t>
      </w:r>
    </w:p>
    <w:p w14:paraId="5275E82D">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（2）设施无证运营、带病运营、拒不安全整改；</w:t>
      </w:r>
    </w:p>
    <w:p w14:paraId="529FA59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（3）堵塞消防通道、超时经营、噪音屡教不改；</w:t>
      </w:r>
    </w:p>
    <w:p w14:paraId="7BA723EE">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（4）私自破坏场地地面；</w:t>
      </w:r>
    </w:p>
    <w:p w14:paraId="3CB3FEA9">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（5）不支付或者不按照约定支付租金、履约保证金逾期超过30日的；</w:t>
      </w:r>
    </w:p>
    <w:p w14:paraId="48CC5BE3">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（6）擅自转第三方经营，分包场地、违规招商；</w:t>
      </w:r>
    </w:p>
    <w:p w14:paraId="4AD6F2E6">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（7）因经营过程中出现的违法行为被政府相关部门责令停止营业的、政府相关部门责令甲方整改的；</w:t>
      </w:r>
    </w:p>
    <w:p w14:paraId="30BB871C">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（8）违反城管、自然资源和规划、消防、市监处罚，牵连库区被追责；</w:t>
      </w:r>
    </w:p>
    <w:p w14:paraId="0EBF1A8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（9）擅自改变经营权场地经营用途的，拓展经营项目；</w:t>
      </w:r>
    </w:p>
    <w:p w14:paraId="2DBDEA3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（10）超范围经营、违规搭建构筑物。</w:t>
      </w:r>
    </w:p>
    <w:p w14:paraId="6B65DC27">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2、甲方有下列情形之一的，乙方有权单方解除协议：</w:t>
      </w:r>
    </w:p>
    <w:p w14:paraId="71CCE37C">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未按约定时间交付该经营权运营场地达30日的。</w:t>
      </w:r>
    </w:p>
    <w:p w14:paraId="261B8FE6">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第九条：不可抗力因素</w:t>
      </w:r>
    </w:p>
    <w:p w14:paraId="572184B4">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协议履行期间因不可抗力（含各级政府和行业部门的行为及政策变化）导致协议不能履行或不能完全履行的，协议各方均不承担违约责任。</w:t>
      </w:r>
    </w:p>
    <w:p w14:paraId="068411EE">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第十条：争议解决方式</w:t>
      </w:r>
    </w:p>
    <w:p w14:paraId="0202164B">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双方因本协议的履行或与本协议有关的其他事项而发生的争议，应由双方友好协商解决。如协商不成或不愿协商，则任何一方有权将争议提交甲方所在地人民法院解决。</w:t>
      </w:r>
    </w:p>
    <w:p w14:paraId="137249CB">
      <w:pPr>
        <w:keepNext w:val="0"/>
        <w:keepLines w:val="0"/>
        <w:pageBreakBefore w:val="0"/>
        <w:widowControl/>
        <w:kinsoku/>
        <w:wordWrap/>
        <w:overflowPunct/>
        <w:topLinePunct w:val="0"/>
        <w:autoSpaceDE/>
        <w:autoSpaceDN/>
        <w:bidi w:val="0"/>
        <w:adjustRightInd/>
        <w:snapToGrid/>
        <w:spacing w:before="240" w:after="120" w:line="360" w:lineRule="exact"/>
        <w:textAlignment w:val="auto"/>
        <w:rPr>
          <w:rFonts w:hint="eastAsia" w:ascii="仿宋" w:hAnsi="仿宋" w:eastAsia="仿宋" w:cs="仿宋"/>
          <w:sz w:val="28"/>
          <w:szCs w:val="28"/>
        </w:rPr>
      </w:pPr>
      <w:r>
        <w:rPr>
          <w:rFonts w:hint="eastAsia" w:ascii="仿宋" w:hAnsi="仿宋" w:eastAsia="仿宋" w:cs="仿宋"/>
          <w:b/>
          <w:sz w:val="28"/>
          <w:szCs w:val="28"/>
          <w:u w:val="none"/>
        </w:rPr>
        <w:t>第十一条：附则</w:t>
      </w:r>
    </w:p>
    <w:p w14:paraId="7BABA40A">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1、本协议自双方法定代表人或授权代表签字或盖章并加盖公章之日起生效。本协议一式陆份，甲方执肆份，乙方执贰份，具有同等的法律效力。</w:t>
      </w:r>
    </w:p>
    <w:p w14:paraId="56EC2A40">
      <w:pPr>
        <w:keepNext w:val="0"/>
        <w:keepLines w:val="0"/>
        <w:pageBreakBefore w:val="0"/>
        <w:widowControl/>
        <w:kinsoku/>
        <w:wordWrap/>
        <w:overflowPunct/>
        <w:topLinePunct w:val="0"/>
        <w:autoSpaceDE/>
        <w:autoSpaceDN/>
        <w:bidi w:val="0"/>
        <w:adjustRightInd/>
        <w:snapToGrid/>
        <w:spacing w:line="360" w:lineRule="exact"/>
        <w:ind w:firstLine="640"/>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2、双方对协议内容的变更或补充应采用书面形式，并由双方签字盖章作为协议附件，附件与本协议具有同等的法律效力。</w:t>
      </w:r>
    </w:p>
    <w:p w14:paraId="27B4F59B">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p>
    <w:p w14:paraId="37EA4F0F">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（以下无正文）</w:t>
      </w:r>
    </w:p>
    <w:p w14:paraId="5E156FA1">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p>
    <w:p w14:paraId="118B599C">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甲方：    （盖章）             乙方：     （盖章或签字）</w:t>
      </w:r>
    </w:p>
    <w:p w14:paraId="17E8E7D6">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p>
    <w:p w14:paraId="57E8D88B">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 xml:space="preserve">法定代表人或                   法定代表人或 </w:t>
      </w:r>
    </w:p>
    <w:p w14:paraId="2554BE37">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p>
    <w:p w14:paraId="587A6ABB">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委托代理人：（签字）             委托代理人：（签字）</w:t>
      </w:r>
    </w:p>
    <w:p w14:paraId="10B64647">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p>
    <w:p w14:paraId="453D07B3">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 w:hAnsi="仿宋" w:eastAsia="仿宋" w:cs="仿宋"/>
          <w:sz w:val="28"/>
          <w:szCs w:val="28"/>
        </w:rPr>
      </w:pPr>
      <w:r>
        <w:rPr>
          <w:rFonts w:hint="eastAsia" w:ascii="仿宋" w:hAnsi="仿宋" w:eastAsia="仿宋" w:cs="仿宋"/>
          <w:b w:val="0"/>
          <w:sz w:val="28"/>
          <w:szCs w:val="28"/>
          <w:u w:val="none"/>
        </w:rPr>
        <w:t>签订日期：</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年</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月</w:t>
      </w:r>
      <w:r>
        <w:rPr>
          <w:rFonts w:hint="eastAsia" w:ascii="仿宋" w:hAnsi="仿宋" w:eastAsia="仿宋" w:cs="仿宋"/>
          <w:b w:val="0"/>
          <w:sz w:val="28"/>
          <w:szCs w:val="28"/>
          <w:u w:val="single"/>
        </w:rPr>
        <w:t xml:space="preserve">  </w:t>
      </w:r>
      <w:r>
        <w:rPr>
          <w:rFonts w:hint="eastAsia" w:ascii="仿宋" w:hAnsi="仿宋" w:eastAsia="仿宋" w:cs="仿宋"/>
          <w:b w:val="0"/>
          <w:sz w:val="28"/>
          <w:szCs w:val="28"/>
          <w:u w:val="none"/>
        </w:rPr>
        <w:t>日</w:t>
      </w:r>
    </w:p>
    <w:p w14:paraId="0D42F52B">
      <w:pPr>
        <w:keepNext w:val="0"/>
        <w:keepLines w:val="0"/>
        <w:pageBreakBefore w:val="0"/>
        <w:widowControl/>
        <w:kinsoku/>
        <w:wordWrap/>
        <w:overflowPunct/>
        <w:topLinePunct w:val="0"/>
        <w:autoSpaceDE/>
        <w:autoSpaceDN/>
        <w:bidi w:val="0"/>
        <w:adjustRightInd/>
        <w:snapToGrid/>
        <w:spacing w:line="360" w:lineRule="exact"/>
        <w:ind w:firstLine="480"/>
        <w:jc w:val="both"/>
        <w:textAlignment w:val="auto"/>
        <w:rPr>
          <w:rFonts w:hint="eastAsia" w:ascii="仿宋" w:hAnsi="仿宋" w:eastAsia="仿宋" w:cs="仿宋"/>
          <w:sz w:val="28"/>
          <w:szCs w:val="28"/>
          <w:lang w:val="en-US" w:eastAsia="zh-CN"/>
        </w:rPr>
      </w:pPr>
      <w:bookmarkStart w:id="0" w:name="_GoBack"/>
      <w:bookmarkEnd w:id="0"/>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汇文明朝体"/>
    <w:panose1 w:val="00000000000000000000"/>
    <w:charset w:val="80"/>
    <w:family w:val="roman"/>
    <w:pitch w:val="default"/>
    <w:sig w:usb0="00000000" w:usb1="00000000" w:usb2="00000010" w:usb3="00000000" w:csb0="00020000" w:csb1="00000000"/>
  </w:font>
  <w:font w:name="汇文明朝体">
    <w:panose1 w:val="02000600000000000000"/>
    <w:charset w:val="80"/>
    <w:family w:val="auto"/>
    <w:pitch w:val="default"/>
    <w:sig w:usb0="800002D7" w:usb1="1A4F6C50" w:usb2="00000010" w:usb3="00000000" w:csb0="00020003"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方正FW筑紫明朝 简 M">
    <w:altName w:val="宋体"/>
    <w:panose1 w:val="02000600000000000000"/>
    <w:charset w:val="86"/>
    <w:family w:val="auto"/>
    <w:pitch w:val="default"/>
    <w:sig w:usb0="00000000" w:usb1="00000000"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F6651C4"/>
    <w:rsid w:val="47E40E79"/>
    <w:rsid w:val="714750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1130</Words>
  <Characters>1138</Characters>
  <Lines>0</Lines>
  <Paragraphs>0</Paragraphs>
  <TotalTime>0</TotalTime>
  <ScaleCrop>false</ScaleCrop>
  <LinksUpToDate>false</LinksUpToDate>
  <CharactersWithSpaces>1138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郭念東</cp:lastModifiedBy>
  <dcterms:modified xsi:type="dcterms:W3CDTF">2026-10-23T00:36:55Z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eyJoZGlkIjoiNzliYWNkOGZmODQwMTYxNzM1OTEwOWMxMzY5NDI3Y2UiLCJ1c2VySWQiOiI3NTUxNjg5NzEifQ==</vt:lpwstr>
  </property>
  <property fmtid="{D5CDD505-2E9C-101B-9397-08002B2CF9AE}" pid="3" name="KSOProductBuildVer">
    <vt:lpwstr>2052-12.1.0.29161</vt:lpwstr>
  </property>
  <property fmtid="{D5CDD505-2E9C-101B-9397-08002B2CF9AE}" pid="4" name="ICV">
    <vt:lpwstr>48D4949FE95149A489AC68814E0D4CEF_13</vt:lpwstr>
  </property>
</Properties>
</file>