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524BA">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银沙滩钢结构房一层</w:t>
      </w:r>
      <w:r>
        <w:rPr>
          <w:rFonts w:hint="eastAsia" w:ascii="仿宋_GB2312" w:hAnsi="仿宋_GB2312" w:eastAsia="仿宋_GB2312" w:cs="仿宋_GB2312"/>
          <w:sz w:val="28"/>
          <w:szCs w:val="28"/>
          <w:lang w:val="en-US" w:eastAsia="zh-CN"/>
        </w:rPr>
        <w:t>西侧</w:t>
      </w:r>
      <w:r>
        <w:rPr>
          <w:rFonts w:hint="eastAsia" w:ascii="仿宋_GB2312" w:hAnsi="仿宋_GB2312" w:eastAsia="仿宋_GB2312" w:cs="仿宋_GB2312"/>
          <w:sz w:val="28"/>
          <w:szCs w:val="28"/>
        </w:rPr>
        <w:t>便民服务配套用房</w:t>
      </w:r>
    </w:p>
    <w:p w14:paraId="4FDD723D">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经营权情况说明</w:t>
      </w:r>
    </w:p>
    <w:p w14:paraId="5AD3649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仿宋_GB2312" w:hAnsi="仿宋_GB2312" w:eastAsia="仿宋_GB2312" w:cs="仿宋_GB2312"/>
          <w:sz w:val="24"/>
          <w:szCs w:val="24"/>
        </w:rPr>
      </w:pPr>
    </w:p>
    <w:p w14:paraId="3EA4816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概况及</w:t>
      </w:r>
      <w:r>
        <w:rPr>
          <w:rFonts w:hint="eastAsia" w:ascii="仿宋_GB2312" w:hAnsi="仿宋_GB2312" w:eastAsia="仿宋_GB2312" w:cs="仿宋_GB2312"/>
          <w:sz w:val="24"/>
          <w:szCs w:val="24"/>
          <w:lang w:val="en-US" w:eastAsia="zh-CN"/>
        </w:rPr>
        <w:t>经营权期限</w:t>
      </w:r>
    </w:p>
    <w:p w14:paraId="6E7CEAD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项目位于银沙滩钢结构房一层西侧便民服务配套用房，面积约为65.3㎡，仅限用于餐饮经营，经营权期限为5年。</w:t>
      </w:r>
    </w:p>
    <w:p w14:paraId="4DB27900">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承包人应具备的基本条件及要求</w:t>
      </w:r>
    </w:p>
    <w:p w14:paraId="448D21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1、承租人为境内外企业法人、具有独立承担民事责任能力的其他组织和具有完全民事行为能力的自然人。</w:t>
      </w:r>
    </w:p>
    <w:p w14:paraId="0F9BBB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2、经营要求承租人必须合法、文明经营，自负盈亏，承担经营过程中发生的一切税费及相关责任。</w:t>
      </w:r>
    </w:p>
    <w:p w14:paraId="171E2B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租人对竞得的标的只有经营权，所有权与处置权属于开封西湖文旅投资有限公司。承包人需自行负责餐饮经营全流程关键工作，包括食材采购验收与合规储存、经营区域用电管理、餐饮操作间及室外平台用餐区清洁、餐饮设备日常维护与检修，确保餐饮项目合规安全运营。同时，需配备专业的餐饮操作人员与服务人员，操作人员严格遵循食品安全操作规范开展食材加工制作，服务人员提供热情周到的用餐引导与服务，全方位保障游客的用餐安全与优质体验，避免因操作不当、服务疏漏或设备故障影响项目运营及游客权益。</w:t>
      </w:r>
    </w:p>
    <w:p w14:paraId="70F6D2C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4、安全管理要求承租人需建立完善的安全管理制度，确保该项目的安全运行。具体要求如下：</w:t>
      </w:r>
    </w:p>
    <w:p w14:paraId="250551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需对餐饮经营区域进行全面检查，重点排查燃气管道及阀门密封性、电路线路及用电设备安全性、消防器材完好性，同时检查用餐区域地面防滑情况、桌椅稳固性，确保游客无燃气泄漏、触电、滑倒摔伤等风险。</w:t>
      </w:r>
    </w:p>
    <w:p w14:paraId="7B22F9F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配备专业的安全管理人员明确其岗位职责，负责现场食品安全监督、消防安全巡查、游客安全引导及应急处理，一旦发生食材变质、设备故障、游客突发意外等情况，需第一时间启动应急方案并妥善处置。</w:t>
      </w:r>
    </w:p>
    <w:p w14:paraId="72D37C6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承包人需为该餐饮项目购买足额的商业保险，保险范围需涵盖公众责任险、食品安全责任险及从业人员意外险，保障各方权益。</w:t>
      </w:r>
    </w:p>
    <w:p w14:paraId="1755456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在餐饮经营区域设置明显的安全警示标识，内容需包含食品安全提示、消防安全提示、人身安全提示等，标识设计需清晰醒目、易于识别。</w:t>
      </w:r>
    </w:p>
    <w:p w14:paraId="73D1B3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定期对现场管理人员及从业人员进行安全培训，培训内容需包括餐饮食品安全操作规范。</w:t>
      </w:r>
    </w:p>
    <w:p w14:paraId="09D367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5、承包人</w:t>
      </w:r>
      <w:r>
        <w:rPr>
          <w:rFonts w:hint="eastAsia" w:ascii="仿宋_GB2312" w:hAnsi="仿宋_GB2312" w:eastAsia="仿宋_GB2312" w:cs="仿宋_GB2312"/>
          <w:sz w:val="24"/>
          <w:szCs w:val="24"/>
        </w:rPr>
        <w:t>的经营业态及</w:t>
      </w:r>
      <w:r>
        <w:rPr>
          <w:rFonts w:hint="eastAsia" w:ascii="仿宋_GB2312" w:hAnsi="仿宋_GB2312" w:eastAsia="仿宋_GB2312" w:cs="仿宋_GB2312"/>
          <w:sz w:val="24"/>
          <w:szCs w:val="24"/>
          <w:lang w:val="en-US" w:eastAsia="zh-CN"/>
        </w:rPr>
        <w:t>装饰装修方案</w:t>
      </w:r>
      <w:r>
        <w:rPr>
          <w:rFonts w:hint="eastAsia" w:ascii="仿宋_GB2312" w:hAnsi="仿宋_GB2312" w:eastAsia="仿宋_GB2312" w:cs="仿宋_GB2312"/>
          <w:sz w:val="24"/>
          <w:szCs w:val="24"/>
        </w:rPr>
        <w:t>，需上报西湖公司审核通过，</w:t>
      </w:r>
      <w:r>
        <w:rPr>
          <w:rFonts w:hint="eastAsia" w:ascii="仿宋_GB2312" w:hAnsi="仿宋_GB2312" w:eastAsia="仿宋_GB2312" w:cs="仿宋_GB2312"/>
          <w:sz w:val="24"/>
          <w:szCs w:val="24"/>
          <w:lang w:val="en-US" w:eastAsia="zh-CN"/>
        </w:rPr>
        <w:t>方可进行入场装修。</w:t>
      </w:r>
    </w:p>
    <w:p w14:paraId="431A6E6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承包人自“拍卖成交确认书”签订之日起20个工作日内与发包方签订合同。签订经营权承包合同前，承包人需交纳履约保证金1.5万元。该履约保证金在合同终止或解除后，自乙方按照甲方的要求交付场地完毕之日起7日内，由甲方无息退还乙方，但乙方因欠交相关费用及违约被扣除部分除外。</w:t>
      </w:r>
    </w:p>
    <w:p w14:paraId="5A6736D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759747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D962A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55C96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DAD6DC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320AB6B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B32A20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28647D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1D037AB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171F524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2D690F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0D3ADFC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733691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5F435F0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66CD18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2F7FAE9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5521037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4B4A19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7E7041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15573EC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62B5A8F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794AA550">
      <w:pP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注：最终以正式签订合同为准</w:t>
      </w:r>
    </w:p>
    <w:p w14:paraId="54588DA1">
      <w:pPr>
        <w:jc w:val="left"/>
        <w:rPr>
          <w:rFonts w:hint="eastAsia" w:ascii="仿宋_GB2312" w:hAnsi="仿宋_GB2312" w:eastAsia="仿宋_GB2312" w:cs="仿宋_GB2312"/>
          <w:sz w:val="21"/>
          <w:szCs w:val="21"/>
          <w:highlight w:val="none"/>
        </w:rPr>
      </w:pPr>
    </w:p>
    <w:p w14:paraId="60A6E10B">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银沙滩钢结构房一层西侧便民服务配套用房</w:t>
      </w:r>
    </w:p>
    <w:p w14:paraId="17E548FE">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sz w:val="28"/>
          <w:szCs w:val="28"/>
          <w:lang w:eastAsia="zh-CN"/>
        </w:rPr>
      </w:pPr>
      <w:bookmarkStart w:id="0" w:name="_GoBack"/>
      <w:bookmarkEnd w:id="0"/>
      <w:r>
        <w:rPr>
          <w:rFonts w:hint="eastAsia" w:ascii="仿宋_GB2312" w:hAnsi="仿宋_GB2312" w:eastAsia="仿宋_GB2312" w:cs="仿宋_GB2312"/>
          <w:bCs/>
          <w:sz w:val="28"/>
          <w:szCs w:val="28"/>
          <w:lang w:val="en-US" w:eastAsia="zh-CN"/>
        </w:rPr>
        <w:t>经营权承包协议</w:t>
      </w:r>
    </w:p>
    <w:p w14:paraId="735ADBA7">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7E168DA0">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出租方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1CC193E1">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1CB2E43A">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6B4CD776">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p>
    <w:p w14:paraId="23EC97CD">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rPr>
        <w:t>住址：</w:t>
      </w:r>
    </w:p>
    <w:p w14:paraId="4A8257AF">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p>
    <w:p w14:paraId="5772533C">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p>
    <w:p w14:paraId="5F78319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根据《中华人民共和国民法典》等相关法律、法规的规定，甲、乙双方在“平等互利、协商一致”的基础上，就乙方</w:t>
      </w:r>
      <w:r>
        <w:rPr>
          <w:rFonts w:hint="eastAsia" w:ascii="仿宋_GB2312" w:hAnsi="仿宋_GB2312" w:eastAsia="仿宋_GB2312" w:cs="仿宋_GB2312"/>
          <w:sz w:val="24"/>
          <w:szCs w:val="24"/>
          <w:lang w:val="en-US" w:eastAsia="zh-CN"/>
        </w:rPr>
        <w:t>承包</w:t>
      </w:r>
      <w:r>
        <w:rPr>
          <w:rFonts w:hint="eastAsia" w:ascii="仿宋_GB2312" w:hAnsi="仿宋_GB2312" w:eastAsia="仿宋_GB2312" w:cs="仿宋_GB2312"/>
          <w:sz w:val="24"/>
          <w:szCs w:val="24"/>
        </w:rPr>
        <w:t>甲方银沙滩</w:t>
      </w:r>
      <w:r>
        <w:rPr>
          <w:rFonts w:hint="eastAsia" w:ascii="仿宋_GB2312" w:hAnsi="仿宋_GB2312" w:eastAsia="仿宋_GB2312" w:cs="仿宋_GB2312"/>
          <w:sz w:val="24"/>
          <w:szCs w:val="24"/>
          <w:lang w:val="en-US" w:eastAsia="zh-CN"/>
        </w:rPr>
        <w:t>钢</w:t>
      </w:r>
      <w:r>
        <w:rPr>
          <w:rFonts w:hint="eastAsia" w:ascii="仿宋_GB2312" w:hAnsi="仿宋_GB2312" w:eastAsia="仿宋_GB2312" w:cs="仿宋_GB2312"/>
          <w:sz w:val="24"/>
          <w:szCs w:val="24"/>
        </w:rPr>
        <w:t>结构房一层</w:t>
      </w:r>
      <w:r>
        <w:rPr>
          <w:rFonts w:hint="eastAsia" w:ascii="仿宋_GB2312" w:hAnsi="仿宋_GB2312" w:eastAsia="仿宋_GB2312" w:cs="仿宋_GB2312"/>
          <w:sz w:val="24"/>
          <w:szCs w:val="24"/>
          <w:lang w:val="en-US" w:eastAsia="zh-CN"/>
        </w:rPr>
        <w:t>西侧</w:t>
      </w:r>
      <w:r>
        <w:rPr>
          <w:rFonts w:hint="eastAsia" w:ascii="仿宋_GB2312" w:hAnsi="仿宋_GB2312" w:eastAsia="仿宋_GB2312" w:cs="仿宋_GB2312"/>
          <w:sz w:val="24"/>
          <w:szCs w:val="24"/>
        </w:rPr>
        <w:t>便民服务配套用房</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经营权一事，为明确双方的权利、义务及相关事宜，特订立如下协议：</w:t>
      </w:r>
    </w:p>
    <w:p w14:paraId="6B04B001">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3C6DAEE2">
      <w:pPr>
        <w:keepNext w:val="0"/>
        <w:keepLines w:val="0"/>
        <w:pageBreakBefore w:val="0"/>
        <w:widowControl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乙方承包甲方位于银沙滩钢结构房一层</w:t>
      </w:r>
      <w:r>
        <w:rPr>
          <w:rFonts w:hint="eastAsia" w:ascii="仿宋_GB2312" w:hAnsi="仿宋_GB2312" w:eastAsia="仿宋_GB2312" w:cs="仿宋_GB2312"/>
          <w:sz w:val="24"/>
          <w:szCs w:val="24"/>
          <w:lang w:val="en-US" w:eastAsia="zh-CN"/>
        </w:rPr>
        <w:t>西</w:t>
      </w:r>
      <w:r>
        <w:rPr>
          <w:rFonts w:hint="eastAsia" w:ascii="仿宋_GB2312" w:hAnsi="仿宋_GB2312" w:eastAsia="仿宋_GB2312" w:cs="仿宋_GB2312"/>
          <w:sz w:val="24"/>
          <w:szCs w:val="24"/>
        </w:rPr>
        <w:t>侧便民服务配套用房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用房面积为65.3㎡</w:t>
      </w:r>
      <w:r>
        <w:rPr>
          <w:rFonts w:hint="eastAsia" w:ascii="仿宋_GB2312" w:hAnsi="仿宋_GB2312" w:eastAsia="仿宋_GB2312" w:cs="仿宋_GB2312"/>
          <w:sz w:val="24"/>
          <w:szCs w:val="24"/>
        </w:rPr>
        <w:t>，可用于经营符合便民服务定位的餐饮项目</w:t>
      </w:r>
      <w:r>
        <w:rPr>
          <w:rFonts w:hint="eastAsia" w:ascii="仿宋_GB2312" w:hAnsi="仿宋_GB2312" w:eastAsia="仿宋_GB2312" w:cs="仿宋_GB2312"/>
          <w:sz w:val="24"/>
          <w:szCs w:val="24"/>
          <w:lang w:eastAsia="zh-CN"/>
        </w:rPr>
        <w:t>。</w:t>
      </w:r>
    </w:p>
    <w:p w14:paraId="60805C8A">
      <w:pPr>
        <w:keepNext w:val="0"/>
        <w:keepLines w:val="0"/>
        <w:pageBreakBefore w:val="0"/>
        <w:widowControl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该项目</w:t>
      </w:r>
      <w:r>
        <w:rPr>
          <w:rFonts w:hint="eastAsia" w:ascii="仿宋_GB2312" w:hAnsi="仿宋_GB2312" w:eastAsia="仿宋_GB2312" w:cs="仿宋_GB2312"/>
          <w:sz w:val="24"/>
          <w:szCs w:val="24"/>
        </w:rPr>
        <w:t>经营权期限为</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w:t>
      </w:r>
    </w:p>
    <w:p w14:paraId="5F57574F">
      <w:pPr>
        <w:keepNext w:val="0"/>
        <w:keepLines w:val="0"/>
        <w:pageBreakBefore w:val="0"/>
        <w:widowControl w:val="0"/>
        <w:numPr>
          <w:ilvl w:val="0"/>
          <w:numId w:val="0"/>
        </w:numPr>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0B811F4E">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60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720D785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期限为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年，自</w:t>
      </w:r>
      <w:r>
        <w:rPr>
          <w:rFonts w:hint="eastAsia" w:ascii="仿宋_GB2312" w:hAnsi="仿宋_GB2312" w:eastAsia="仿宋_GB2312" w:cs="仿宋_GB2312"/>
          <w:sz w:val="24"/>
          <w:szCs w:val="24"/>
          <w:u w:val="single"/>
          <w:lang w:val="en-US" w:eastAsia="zh-CN"/>
        </w:rPr>
        <w:t>2026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2031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317D9E27">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58B0966B">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元</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w:t>
      </w:r>
    </w:p>
    <w:p w14:paraId="51CAE48A">
      <w:pPr>
        <w:pStyle w:val="7"/>
        <w:keepNext w:val="0"/>
        <w:keepLines w:val="0"/>
        <w:pageBreakBefore w:val="0"/>
        <w:widowControl w:val="0"/>
        <w:kinsoku/>
        <w:wordWrap/>
        <w:overflowPunct/>
        <w:topLinePunct w:val="0"/>
        <w:bidi w:val="0"/>
        <w:spacing w:line="420" w:lineRule="exact"/>
        <w:ind w:firstLine="5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履约保证金（人民币）大写：</w:t>
      </w:r>
      <w:r>
        <w:rPr>
          <w:rFonts w:hint="eastAsia" w:ascii="仿宋_GB2312" w:hAnsi="仿宋_GB2312" w:eastAsia="仿宋_GB2312" w:cs="仿宋_GB2312"/>
          <w:sz w:val="24"/>
          <w:szCs w:val="24"/>
          <w:u w:val="single"/>
          <w:lang w:val="en-US" w:eastAsia="zh-CN"/>
        </w:rPr>
        <w:t>壹万伍仟元</w:t>
      </w:r>
      <w:r>
        <w:rPr>
          <w:rFonts w:hint="eastAsia" w:ascii="仿宋_GB2312" w:hAnsi="仿宋_GB2312" w:eastAsia="仿宋_GB2312" w:cs="仿宋_GB2312"/>
          <w:sz w:val="24"/>
          <w:szCs w:val="24"/>
          <w:u w:val="single"/>
        </w:rPr>
        <w:t>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u w:val="single"/>
        </w:rPr>
        <w:t>000</w:t>
      </w:r>
      <w:r>
        <w:rPr>
          <w:rFonts w:hint="eastAsia" w:ascii="仿宋_GB2312" w:hAnsi="仿宋_GB2312" w:eastAsia="仿宋_GB2312" w:cs="仿宋_GB2312"/>
          <w:sz w:val="24"/>
          <w:szCs w:val="24"/>
        </w:rPr>
        <w:t>元。合同签订前乙方向甲方指定账户通过转账方式支付履约保证金。该履约保证金在合同终止或解除后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自乙方按照甲方的要求交付场地完毕之日起7日内，</w:t>
      </w:r>
      <w:r>
        <w:rPr>
          <w:rFonts w:hint="eastAsia" w:ascii="仿宋_GB2312" w:hAnsi="仿宋_GB2312" w:eastAsia="仿宋_GB2312" w:cs="仿宋_GB2312"/>
          <w:sz w:val="24"/>
          <w:szCs w:val="24"/>
        </w:rPr>
        <w:t>由甲方无息退还乙方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但乙方因欠交相关费用及违约被扣除部分除外。</w:t>
      </w:r>
    </w:p>
    <w:p w14:paraId="4A0BF216">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上述租金不包括用电、供水、垃圾处理、安全防护等费用。用电、供水、垃圾处理、安全防护等费用由乙方按照相关部门规定承担。</w:t>
      </w:r>
    </w:p>
    <w:p w14:paraId="57268E30">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247F0432">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w:t>
      </w:r>
      <w:r>
        <w:rPr>
          <w:rFonts w:hint="eastAsia" w:ascii="仿宋_GB2312" w:hAnsi="仿宋_GB2312" w:eastAsia="仿宋_GB2312" w:cs="仿宋_GB2312"/>
          <w:sz w:val="24"/>
          <w:szCs w:val="24"/>
          <w:lang w:val="en-US" w:eastAsia="zh-CN"/>
        </w:rPr>
        <w:t>第二年至第五年的经营权承包款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4809CA0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32B677B5">
      <w:pPr>
        <w:keepNext w:val="0"/>
        <w:keepLines w:val="0"/>
        <w:pageBreakBefore w:val="0"/>
        <w:widowControl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（2）开户行：</w:t>
      </w:r>
      <w:r>
        <w:rPr>
          <w:rFonts w:hint="eastAsia" w:ascii="仿宋_GB2312" w:hAnsi="仿宋_GB2312" w:eastAsia="仿宋_GB2312" w:cs="仿宋_GB2312"/>
          <w:sz w:val="24"/>
          <w:szCs w:val="24"/>
          <w:u w:val="single"/>
        </w:rPr>
        <w:t xml:space="preserve">中国银行新区支行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3EBD7D80">
      <w:pPr>
        <w:keepNext w:val="0"/>
        <w:keepLines w:val="0"/>
        <w:pageBreakBefore w:val="0"/>
        <w:widowControl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（3）银行账号：</w:t>
      </w:r>
      <w:r>
        <w:rPr>
          <w:rFonts w:hint="eastAsia" w:ascii="仿宋_GB2312" w:hAnsi="仿宋_GB2312" w:eastAsia="仿宋_GB2312" w:cs="仿宋_GB2312"/>
          <w:sz w:val="24"/>
          <w:szCs w:val="24"/>
          <w:u w:val="single"/>
        </w:rPr>
        <w:t xml:space="preserve">253346541978 </w:t>
      </w:r>
      <w:r>
        <w:rPr>
          <w:rFonts w:hint="eastAsia" w:ascii="仿宋_GB2312" w:hAnsi="仿宋_GB2312" w:eastAsia="仿宋_GB2312" w:cs="仿宋_GB2312"/>
          <w:sz w:val="24"/>
          <w:szCs w:val="24"/>
          <w:u w:val="single"/>
          <w:lang w:val="en-US" w:eastAsia="zh-CN"/>
        </w:rPr>
        <w:t xml:space="preserve">         </w:t>
      </w:r>
    </w:p>
    <w:p w14:paraId="34013D1B">
      <w:pPr>
        <w:pStyle w:val="7"/>
        <w:keepNext w:val="0"/>
        <w:keepLines w:val="0"/>
        <w:pageBreakBefore w:val="0"/>
        <w:widowControl w:val="0"/>
        <w:kinsoku/>
        <w:wordWrap/>
        <w:overflowPunct/>
        <w:topLinePunct w:val="0"/>
        <w:bidi w:val="0"/>
        <w:spacing w:line="42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w:t>
      </w:r>
    </w:p>
    <w:p w14:paraId="1ED5563D">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62CB7BF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281DAB27">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协助乙方用电相关事宜</w:t>
      </w:r>
      <w:r>
        <w:rPr>
          <w:rFonts w:hint="eastAsia" w:ascii="仿宋_GB2312" w:hAnsi="仿宋_GB2312" w:eastAsia="仿宋_GB2312" w:cs="仿宋_GB2312"/>
          <w:sz w:val="24"/>
          <w:szCs w:val="24"/>
        </w:rPr>
        <w:t>。</w:t>
      </w:r>
    </w:p>
    <w:p w14:paraId="66CB443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w:t>
      </w: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i w:val="0"/>
          <w:iCs w:val="0"/>
          <w:caps w:val="0"/>
          <w:spacing w:val="0"/>
          <w:sz w:val="24"/>
          <w:szCs w:val="24"/>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4"/>
          <w:szCs w:val="24"/>
          <w:shd w:val="clear"/>
          <w:lang w:eastAsia="zh-CN"/>
        </w:rPr>
        <w:t>，</w:t>
      </w:r>
      <w:r>
        <w:rPr>
          <w:rFonts w:hint="eastAsia" w:ascii="仿宋_GB2312" w:hAnsi="仿宋_GB2312" w:eastAsia="仿宋_GB2312" w:cs="仿宋_GB2312"/>
          <w:i w:val="0"/>
          <w:iCs w:val="0"/>
          <w:caps w:val="0"/>
          <w:spacing w:val="0"/>
          <w:sz w:val="24"/>
          <w:szCs w:val="24"/>
          <w:shd w:val="clear"/>
          <w:lang w:val="en-US" w:eastAsia="zh-CN"/>
        </w:rPr>
        <w:t>甲方有权单方面</w:t>
      </w:r>
      <w:r>
        <w:rPr>
          <w:rFonts w:hint="eastAsia" w:ascii="仿宋_GB2312" w:hAnsi="仿宋_GB2312" w:eastAsia="仿宋_GB2312" w:cs="仿宋_GB2312"/>
          <w:sz w:val="24"/>
          <w:szCs w:val="24"/>
        </w:rPr>
        <w:t>解除合同，并视作乙方违约。</w:t>
      </w:r>
    </w:p>
    <w:p w14:paraId="07C8D8A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p>
    <w:p w14:paraId="0849D61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期间终止合同时，收验附属设施；收验合格，费用结清，办理收验交接手续。</w:t>
      </w:r>
    </w:p>
    <w:p w14:paraId="03D5319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期间内遇不可抗力、水库规划调整、政府行为、相关政策变化或行业主管部门政策需终止合同的，甲方应当及时通知乙方解除协议，并无需承担任何违约责任；乙方应当在接到甲方通知后</w:t>
      </w:r>
      <w:r>
        <w:rPr>
          <w:rFonts w:hint="eastAsia" w:ascii="仿宋_GB2312" w:hAnsi="仿宋_GB2312" w:eastAsia="仿宋_GB2312" w:cs="仿宋_GB2312"/>
          <w:sz w:val="24"/>
          <w:szCs w:val="24"/>
          <w:lang w:val="en-US" w:eastAsia="zh-CN"/>
        </w:rPr>
        <w:t>一个月</w:t>
      </w:r>
      <w:r>
        <w:rPr>
          <w:rFonts w:hint="eastAsia" w:ascii="仿宋_GB2312" w:hAnsi="仿宋_GB2312" w:eastAsia="仿宋_GB2312" w:cs="仿宋_GB2312"/>
          <w:sz w:val="24"/>
          <w:szCs w:val="24"/>
        </w:rPr>
        <w:t>内</w:t>
      </w:r>
      <w:r>
        <w:rPr>
          <w:rFonts w:hint="eastAsia" w:ascii="仿宋_GB2312" w:hAnsi="仿宋_GB2312" w:eastAsia="仿宋_GB2312" w:cs="仿宋_GB2312"/>
          <w:sz w:val="24"/>
          <w:szCs w:val="24"/>
          <w:lang w:val="en-US" w:eastAsia="zh-CN"/>
        </w:rPr>
        <w:t>办理退租手续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4"/>
          <w:szCs w:val="24"/>
        </w:rPr>
        <w:t>乙方不得就本协议的解除向甲方主张任何形式的补偿、赔偿或损失</w:t>
      </w:r>
      <w:r>
        <w:rPr>
          <w:rFonts w:hint="eastAsia" w:ascii="仿宋_GB2312" w:hAnsi="仿宋_GB2312" w:eastAsia="仿宋_GB2312" w:cs="仿宋_GB2312"/>
          <w:sz w:val="24"/>
          <w:szCs w:val="24"/>
          <w:lang w:eastAsia="zh-CN"/>
        </w:rPr>
        <w:t>。</w:t>
      </w:r>
    </w:p>
    <w:p w14:paraId="50961B9B">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0A305185">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sz w:val="24"/>
          <w:szCs w:val="24"/>
          <w:lang w:val="en-US" w:eastAsia="zh-CN"/>
        </w:rPr>
        <w:t>乙方应在本合同签订之日起，在约定的经营权免承包款期内完成该项目的进场工作。</w:t>
      </w:r>
    </w:p>
    <w:p w14:paraId="74B21E9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2、乙方的经营业态及装饰装修方案，需上报甲方审核通过，方可进行入场装修。</w:t>
      </w:r>
    </w:p>
    <w:p w14:paraId="509A5E85">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sz w:val="24"/>
          <w:szCs w:val="24"/>
        </w:rPr>
        <w:t>严格执行国家法律法规和甲方的相关管理规定，且只能在本次中标之范围内合法文明经营，不得超区域或占道经营。</w:t>
      </w:r>
    </w:p>
    <w:p w14:paraId="3509058F">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期间的一切安全责任及纠纷。一旦出现安全责任事故及纠纷，由此造成的一切法律后果均由乙方承担。</w:t>
      </w:r>
    </w:p>
    <w:p w14:paraId="251B432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、接受甲方及政府职能机构对经营范围、卫生、质量、价格、广告、服务等方面的监督、检查，并服从管理，及时整改。</w:t>
      </w:r>
    </w:p>
    <w:p w14:paraId="3A1DC0F7">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按库区电费收费标准规定及时向甲方交纳电费。</w:t>
      </w:r>
    </w:p>
    <w:p w14:paraId="1812C126">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私搭乱建，破坏绿地及周边配套设施等行为。可以根据经营需要增添附设备、设施，但不得影响</w:t>
      </w:r>
      <w:r>
        <w:rPr>
          <w:rFonts w:hint="eastAsia" w:ascii="仿宋_GB2312" w:hAnsi="仿宋_GB2312" w:eastAsia="仿宋_GB2312" w:cs="仿宋_GB2312"/>
          <w:sz w:val="24"/>
          <w:szCs w:val="24"/>
          <w:lang w:val="en-US" w:eastAsia="zh-CN"/>
        </w:rPr>
        <w:t>广场整体形象及安全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0B01A9D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、自行办理营业执照、相关行业证照、税务登记等证照，</w:t>
      </w:r>
      <w:r>
        <w:rPr>
          <w:rFonts w:hint="eastAsia" w:ascii="仿宋_GB2312" w:hAnsi="仿宋_GB2312" w:eastAsia="仿宋_GB2312" w:cs="仿宋_GB2312"/>
          <w:color w:val="000000" w:themeColor="text1"/>
          <w:sz w:val="24"/>
          <w:szCs w:val="24"/>
          <w14:textFill>
            <w14:solidFill>
              <w14:schemeClr w14:val="tx1"/>
            </w14:solidFill>
          </w14:textFill>
        </w:rPr>
        <w:t>承担经营所发生的一切税费并承担相关责任，并</w:t>
      </w:r>
      <w:r>
        <w:rPr>
          <w:rFonts w:hint="eastAsia" w:ascii="仿宋_GB2312" w:hAnsi="仿宋_GB2312" w:eastAsia="仿宋_GB2312" w:cs="仿宋_GB2312"/>
          <w:sz w:val="24"/>
          <w:szCs w:val="24"/>
        </w:rPr>
        <w:t>在经营过程中规范用工，因乙方违法违规经营或其他违法违规行为造成的后果及损失由乙方自行承担。</w:t>
      </w:r>
    </w:p>
    <w:p w14:paraId="44731111">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4"/>
          <w:szCs w:val="24"/>
          <w14:textFill>
            <w14:solidFill>
              <w14:schemeClr w14:val="tx1"/>
            </w14:solidFill>
          </w14:textFill>
        </w:rPr>
        <w:t>乙方所有的经营活动，不得有损甲方的市场形象及生态环境。</w:t>
      </w:r>
    </w:p>
    <w:p w14:paraId="17E076ED">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4"/>
          <w:szCs w:val="24"/>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359B683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、乙方不得将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4"/>
          <w:szCs w:val="24"/>
          <w14:textFill>
            <w14:solidFill>
              <w14:schemeClr w14:val="tx1"/>
            </w14:solidFill>
          </w14:textFill>
        </w:rPr>
        <w:t>转让给第三方，不得将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4"/>
          <w:szCs w:val="24"/>
          <w14:textFill>
            <w14:solidFill>
              <w14:schemeClr w14:val="tx1"/>
            </w14:solidFill>
          </w14:textFill>
        </w:rPr>
        <w:t>用作抵（质）押、转让，不得以甲方名义进行经营和广告宣传活动。</w:t>
      </w:r>
    </w:p>
    <w:p w14:paraId="4CD6BD9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、乙方需做好项目运营区域及周边的环境保护及卫生清理工作，</w:t>
      </w:r>
    </w:p>
    <w:p w14:paraId="2E727C18">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如因乙方运营原因造成周边环境（如绿化、地面铺装等）破坏或污染，维修及更换费用由乙方承担。</w:t>
      </w:r>
    </w:p>
    <w:p w14:paraId="1BC97272">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0B4DFCD">
      <w:pPr>
        <w:keepNext w:val="0"/>
        <w:keepLines w:val="0"/>
        <w:pageBreakBefore w:val="0"/>
        <w:widowControl w:val="0"/>
        <w:kinsoku/>
        <w:wordWrap/>
        <w:overflowPunct/>
        <w:topLinePunct w:val="0"/>
        <w:bidi w:val="0"/>
        <w:spacing w:line="420" w:lineRule="exact"/>
        <w:ind w:left="56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、在经营过程中，如乙方出现其他经济问题，乙方自行处理与</w:t>
      </w:r>
    </w:p>
    <w:p w14:paraId="74A21B22">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49C01D77">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45BEC88E">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3ECFD62A">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1992BD85">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067E11FB">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12CF4128">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乙方应当向甲方支付合同总价款15%的违约金</w:t>
      </w:r>
      <w:r>
        <w:rPr>
          <w:rFonts w:hint="eastAsia" w:ascii="仿宋_GB2312" w:hAnsi="仿宋_GB2312" w:eastAsia="仿宋_GB2312" w:cs="仿宋_GB2312"/>
          <w:color w:val="000000" w:themeColor="text1"/>
          <w:sz w:val="24"/>
          <w:szCs w:val="24"/>
          <w14:textFill>
            <w14:solidFill>
              <w14:schemeClr w14:val="tx1"/>
            </w14:solidFill>
          </w14:textFill>
        </w:rPr>
        <w:t>。</w:t>
      </w:r>
    </w:p>
    <w:p w14:paraId="535211B2">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00元的违约金。</w:t>
      </w:r>
    </w:p>
    <w:p w14:paraId="5F97D554">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w:t>
      </w:r>
    </w:p>
    <w:p w14:paraId="264DF216">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2341044C">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10D76591">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5B2D533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1D122514">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3D08F430">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3249661F">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47117C7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364FD85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6D0A8F6C">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4AC86EAE">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0A405482">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2C9422E1">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3E1E485A">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52DCD4D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3D42F0F2">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4B6AA4F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23163424">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06A6080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6883BDDD">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18D19A08">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为签署页</w:t>
      </w:r>
      <w:r>
        <w:rPr>
          <w:rFonts w:hint="eastAsia" w:ascii="仿宋_GB2312" w:hAnsi="仿宋_GB2312" w:eastAsia="仿宋_GB2312" w:cs="仿宋_GB2312"/>
          <w:sz w:val="24"/>
          <w:szCs w:val="24"/>
        </w:rPr>
        <w:t>）</w:t>
      </w:r>
    </w:p>
    <w:p w14:paraId="038EB55A">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79A65B25">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1A77054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3ACBCE98">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14162154">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0B02F29B">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65D0D3F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3E1F29F9">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A02B84F">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rPr>
      </w:pPr>
    </w:p>
    <w:p w14:paraId="0E519F4A">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7A72D2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03A1E"/>
    <w:rsid w:val="1CDF6673"/>
    <w:rsid w:val="46B83535"/>
    <w:rsid w:val="57872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8"/>
      <w:szCs w:val="28"/>
    </w:rPr>
  </w:style>
  <w:style w:type="paragraph" w:styleId="4">
    <w:name w:val="Plain Text"/>
    <w:basedOn w:val="1"/>
    <w:next w:val="3"/>
    <w:qFormat/>
    <w:uiPriority w:val="0"/>
    <w:rPr>
      <w:rFonts w:ascii="宋体" w:hAnsi="宋体" w:eastAsia="仿宋"/>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Default"/>
    <w:basedOn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4635</Words>
  <Characters>4703</Characters>
  <Lines>0</Lines>
  <Paragraphs>0</Paragraphs>
  <TotalTime>0</TotalTime>
  <ScaleCrop>false</ScaleCrop>
  <LinksUpToDate>false</LinksUpToDate>
  <CharactersWithSpaces>4854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2025-11-12T08:05:00Z</dcterms:created>
  <dc:creator>Administrator</dc:creator>
  <cp:lastModifiedBy>郭念東</cp:lastModifiedBy>
  <dcterms:modified xsi:type="dcterms:W3CDTF">2025-12-29T08:38:47Z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50CBD09957244CC3B8D6C5891E15A16F_12</vt:lpwstr>
  </property>
</Properties>
</file>