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4280C">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银滩卡丁车训练营、银滩小火车项目</w:t>
      </w:r>
    </w:p>
    <w:p w14:paraId="4D048CE4">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经营权</w:t>
      </w:r>
      <w:r>
        <w:rPr>
          <w:rFonts w:hint="eastAsia" w:ascii="仿宋_GB2312" w:hAnsi="仿宋_GB2312" w:eastAsia="仿宋_GB2312" w:cs="仿宋_GB2312"/>
          <w:sz w:val="28"/>
          <w:szCs w:val="28"/>
        </w:rPr>
        <w:t>情况说明</w:t>
      </w:r>
    </w:p>
    <w:p w14:paraId="5718A57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SA"/>
        </w:rPr>
        <w:t>一、</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概况及</w:t>
      </w:r>
      <w:r>
        <w:rPr>
          <w:rFonts w:hint="eastAsia" w:ascii="仿宋_GB2312" w:hAnsi="仿宋_GB2312" w:eastAsia="仿宋_GB2312" w:cs="仿宋_GB2312"/>
          <w:sz w:val="24"/>
          <w:szCs w:val="24"/>
          <w:lang w:val="en-US" w:eastAsia="zh-CN"/>
        </w:rPr>
        <w:t>经营权期限</w:t>
      </w:r>
    </w:p>
    <w:p w14:paraId="6E9EEC5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银滩卡丁车训练营、银滩小火车项目分别位于库区西岸二号岗内和库区范围内，均由甲方提供运营资料（清单见附1）。该项目包含银滩卡丁车训练营（包含银滩卡丁车训练营跑道500米面积为1250㎡</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kern w:val="2"/>
          <w:sz w:val="24"/>
          <w:szCs w:val="24"/>
          <w:lang w:val="en-US" w:eastAsia="zh-CN" w:bidi="ar-SA"/>
        </w:rPr>
        <w:t>售票房33.6㎡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kern w:val="2"/>
          <w:sz w:val="24"/>
          <w:szCs w:val="24"/>
          <w:lang w:val="en-US" w:eastAsia="zh-CN" w:bidi="ar-SA"/>
        </w:rPr>
        <w:t>仓库2间32.8㎡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kern w:val="2"/>
          <w:sz w:val="24"/>
          <w:szCs w:val="24"/>
          <w:lang w:val="en-US" w:eastAsia="zh-CN" w:bidi="ar-SA"/>
        </w:rPr>
        <w:t>12㎡便民超市一间经营权）、银滩小火车经营权（限定两辆小火车）。经营权期限为5年。</w:t>
      </w:r>
    </w:p>
    <w:p w14:paraId="22DD08A1">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承包人应具</w:t>
      </w:r>
      <w:r>
        <w:rPr>
          <w:rFonts w:hint="eastAsia" w:ascii="仿宋_GB2312" w:hAnsi="仿宋_GB2312" w:eastAsia="仿宋_GB2312" w:cs="仿宋_GB2312"/>
          <w:sz w:val="24"/>
          <w:szCs w:val="24"/>
          <w:highlight w:val="none"/>
          <w:lang w:val="en-US" w:eastAsia="zh-CN"/>
        </w:rPr>
        <w:t>备的基本条件及要求</w:t>
      </w:r>
    </w:p>
    <w:p w14:paraId="2825D28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1、承租人为境内外企业法人、具有独立承担民事责任能力的其他组织和具有完全民事行为能力的自然人。</w:t>
      </w:r>
    </w:p>
    <w:p w14:paraId="13F2287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2、经营要求承租人必须合法、文明经营，自负盈亏，承担经营过程中发生的一切税费及相关责任。</w:t>
      </w:r>
    </w:p>
    <w:p w14:paraId="4A912D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3、承租人对竞得的标的只有经营权，所有权与处置权属于开封西湖文旅投资有限公司。承包人需自行负责</w:t>
      </w:r>
      <w:r>
        <w:rPr>
          <w:rFonts w:hint="eastAsia" w:ascii="仿宋_GB2312" w:hAnsi="仿宋_GB2312" w:eastAsia="仿宋_GB2312" w:cs="仿宋_GB2312"/>
          <w:kern w:val="2"/>
          <w:sz w:val="24"/>
          <w:szCs w:val="24"/>
          <w:highlight w:val="none"/>
          <w:lang w:val="en-US" w:eastAsia="zh-CN" w:bidi="ar-SA"/>
        </w:rPr>
        <w:t>银</w:t>
      </w:r>
      <w:r>
        <w:rPr>
          <w:rFonts w:hint="eastAsia" w:ascii="仿宋_GB2312" w:hAnsi="仿宋_GB2312" w:eastAsia="仿宋_GB2312" w:cs="仿宋_GB2312"/>
          <w:kern w:val="2"/>
          <w:sz w:val="24"/>
          <w:szCs w:val="24"/>
          <w:lang w:val="en-US" w:eastAsia="zh-CN" w:bidi="ar-SA"/>
        </w:rPr>
        <w:t>滩卡丁车训练营、银滩小火车项目</w:t>
      </w:r>
      <w:r>
        <w:rPr>
          <w:rFonts w:hint="eastAsia" w:ascii="仿宋_GB2312" w:hAnsi="仿宋_GB2312" w:eastAsia="仿宋_GB2312" w:cs="仿宋_GB2312"/>
          <w:sz w:val="24"/>
          <w:szCs w:val="24"/>
          <w:lang w:val="en-US" w:eastAsia="zh-CN"/>
        </w:rPr>
        <w:t>设施的日常管理、清洁和维护工作，确保设备设施的安全性和完好性，并配备专业的操作人员和服务人员，以确保游客的安全和游乐体验。</w:t>
      </w:r>
    </w:p>
    <w:p w14:paraId="5151F81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4、承租人需承担开封西湖文旅投资有限公司在2025年5月1日至签订合同之日已售卡券，直至消耗完毕。</w:t>
      </w:r>
    </w:p>
    <w:p w14:paraId="516EB7C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5、安全管理要求承包人需建立完善的安全管理制度，确保游乐设施的安全运行。具体要求如下：</w:t>
      </w:r>
    </w:p>
    <w:p w14:paraId="1698F38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每日营业前对游乐设施进行全面检查，确保设备无故障、无安全隐患。</w:t>
      </w:r>
    </w:p>
    <w:p w14:paraId="4035F6D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配备专业的安全管理人员及维护人员，负责现场的安全监督、应急处理和设备设施的维护保养。</w:t>
      </w:r>
    </w:p>
    <w:p w14:paraId="36451CF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承租人需为银滩卡丁车训练营、银滩小火车项目购买足额的商业保险，以应对可能出现的安全事故。</w:t>
      </w:r>
    </w:p>
    <w:p w14:paraId="11E3DB4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在经营区域设置明显的安全警示标识、安全须知及必要的围挡，提醒游客注意安全。</w:t>
      </w:r>
    </w:p>
    <w:p w14:paraId="56502CD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•每日例行检查： 包括但不限于刹车效能、油门回位、方向盘松紧、轮胎磨损与气压、车身结构完整性、安全带功能，巡查赛道，确保无杂物、护栏无松动、轮胎墙无位移。</w:t>
      </w:r>
    </w:p>
    <w:p w14:paraId="57B647C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•人员安全：顾客必须佩戴头盔，对所有顾客上场前必须进行安全培训，内容包括：基础操作、赛道规则、意外处理等。</w:t>
      </w:r>
    </w:p>
    <w:p w14:paraId="71B106C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定期对操作人员进行安全培训，涵盖安全规范、服务流程、基础车辆知识、急救技能，确保其熟悉设备操作规程和应急处理流程。</w:t>
      </w:r>
    </w:p>
    <w:p w14:paraId="2B889B5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严格遵守库区管理规定，确保运营区域内的人员和设备安全，避免对游客造成干扰或安全隐患。</w:t>
      </w:r>
    </w:p>
    <w:p w14:paraId="1CAC90A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采取必要措施防止卡丁车超区运营，防止车辆超区运营以发生危险。</w:t>
      </w:r>
    </w:p>
    <w:p w14:paraId="3F63680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Times New Roman" w:hAnsi="Times New Roman" w:eastAsia="仿宋_GB2312" w:cs="Times New Roman"/>
          <w:sz w:val="24"/>
          <w:szCs w:val="24"/>
          <w:lang w:val="en-US" w:eastAsia="zh-CN"/>
        </w:rPr>
        <w:t xml:space="preserve">• </w:t>
      </w:r>
      <w:r>
        <w:rPr>
          <w:rFonts w:hint="eastAsia" w:ascii="仿宋_GB2312" w:hAnsi="仿宋_GB2312" w:eastAsia="仿宋_GB2312" w:cs="仿宋_GB2312"/>
          <w:sz w:val="24"/>
          <w:szCs w:val="24"/>
          <w:lang w:val="en-US" w:eastAsia="zh-CN"/>
        </w:rPr>
        <w:t>小火车要在西湖公司指定的线路进行运营，严禁超区域运营。</w:t>
      </w:r>
    </w:p>
    <w:p w14:paraId="4EB9AB6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承租人应在合同期间做好设备设施的维护维修，经营资料在合同期限结束时由甲方进行验收，应保持甲方交付时状态及数量，除电池、塑料件等正常老化除外。</w:t>
      </w:r>
    </w:p>
    <w:p w14:paraId="3BE352C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6、承承租人对项目的所有对外宣传及广告需经过甲方审批同意。</w:t>
      </w:r>
    </w:p>
    <w:p w14:paraId="7D72371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bidi="ar-SA"/>
        </w:rPr>
        <w:t>7、</w:t>
      </w:r>
      <w:r>
        <w:rPr>
          <w:rFonts w:hint="eastAsia" w:ascii="仿宋_GB2312" w:hAnsi="仿宋_GB2312" w:eastAsia="仿宋_GB2312" w:cs="仿宋_GB2312"/>
          <w:sz w:val="24"/>
          <w:szCs w:val="24"/>
          <w:highlight w:val="none"/>
          <w:lang w:val="en-US" w:eastAsia="zh-CN"/>
        </w:rPr>
        <w:t>承租人自“拍卖成交确认书”签订之日起20个工作日内与发包方签订合同。签订经营权承包合同前，承包人需交纳履约保证金5万元。该履约保证金在合同终止或解除后7日内由出租人无息退还承包人，但因欠交相关费用及违约被扣除部分除外。</w:t>
      </w:r>
    </w:p>
    <w:p w14:paraId="4D03D77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highlight w:val="none"/>
          <w:lang w:val="en-US" w:eastAsia="zh-CN" w:bidi="ar-SA"/>
        </w:rPr>
        <w:t>8、</w:t>
      </w:r>
      <w:r>
        <w:rPr>
          <w:rFonts w:hint="eastAsia" w:ascii="仿宋_GB2312" w:hAnsi="仿宋_GB2312" w:eastAsia="仿宋_GB2312" w:cs="仿宋_GB2312"/>
          <w:sz w:val="24"/>
          <w:szCs w:val="24"/>
          <w:highlight w:val="none"/>
          <w:lang w:val="en-US" w:eastAsia="zh-CN"/>
        </w:rPr>
        <w:t>承租人需在经营期间遵守库区的统一管理，不得从事任何违法违规活动。需做好游客的安全引导工作，确保游客的人身安全，并保持经营区域的环境卫生，不得对周边环境造成污染或破坏。承</w:t>
      </w:r>
      <w:r>
        <w:rPr>
          <w:rFonts w:hint="eastAsia" w:ascii="仿宋_GB2312" w:hAnsi="仿宋_GB2312" w:eastAsia="仿宋_GB2312" w:cs="仿宋_GB2312"/>
          <w:sz w:val="24"/>
          <w:szCs w:val="24"/>
          <w:lang w:val="en-US" w:eastAsia="zh-CN"/>
        </w:rPr>
        <w:t xml:space="preserve">包人需在规定的运营区域内经营，不得超出划定范围。 </w:t>
      </w:r>
    </w:p>
    <w:p w14:paraId="15D917F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7FBF048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1429824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12395D5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0B95EF8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69A07A4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0572392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25F41A8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5B1E488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1905E75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645B1A8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4C4AFCA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41A2C61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4F09ED0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58014FC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lang w:val="en-US" w:eastAsia="zh-CN"/>
        </w:rPr>
      </w:pPr>
    </w:p>
    <w:p w14:paraId="157B1E8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注：最终以正式签订合同为准</w:t>
      </w:r>
    </w:p>
    <w:p w14:paraId="39BB8119">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仿宋_GB2312" w:hAnsi="仿宋_GB2312" w:eastAsia="仿宋_GB2312" w:cs="仿宋_GB2312"/>
          <w:sz w:val="24"/>
          <w:szCs w:val="24"/>
          <w:highlight w:val="yellow"/>
        </w:rPr>
      </w:pPr>
    </w:p>
    <w:p w14:paraId="01BC8ADA">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银滩卡丁车训练营、银滩小火车项目</w:t>
      </w:r>
    </w:p>
    <w:p w14:paraId="7F7ECCAA">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仿宋_GB2312" w:hAnsi="仿宋_GB2312" w:eastAsia="仿宋_GB2312" w:cs="仿宋_GB2312"/>
          <w:sz w:val="28"/>
          <w:szCs w:val="28"/>
          <w:lang w:eastAsia="zh-CN"/>
        </w:rPr>
      </w:pPr>
      <w:bookmarkStart w:id="0" w:name="_GoBack"/>
      <w:bookmarkEnd w:id="0"/>
      <w:r>
        <w:rPr>
          <w:rFonts w:hint="eastAsia" w:ascii="仿宋_GB2312" w:hAnsi="仿宋_GB2312" w:eastAsia="仿宋_GB2312" w:cs="仿宋_GB2312"/>
          <w:bCs/>
          <w:sz w:val="28"/>
          <w:szCs w:val="28"/>
          <w:lang w:val="en-US" w:eastAsia="zh-CN"/>
        </w:rPr>
        <w:t>经营权承包协议</w:t>
      </w:r>
    </w:p>
    <w:p w14:paraId="2045501C">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仿宋_GB2312" w:hAnsi="仿宋_GB2312" w:eastAsia="仿宋_GB2312" w:cs="仿宋_GB2312"/>
          <w:sz w:val="24"/>
          <w:szCs w:val="24"/>
        </w:rPr>
      </w:pPr>
    </w:p>
    <w:p w14:paraId="0545FD5A">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bCs/>
          <w:sz w:val="24"/>
          <w:szCs w:val="24"/>
          <w:u w:val="single"/>
        </w:rPr>
      </w:pPr>
      <w:r>
        <w:rPr>
          <w:rFonts w:hint="eastAsia" w:ascii="仿宋_GB2312" w:hAnsi="仿宋_GB2312" w:eastAsia="仿宋_GB2312" w:cs="仿宋_GB2312"/>
          <w:b/>
          <w:bCs/>
          <w:sz w:val="24"/>
          <w:szCs w:val="24"/>
        </w:rPr>
        <w:t>甲方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发包方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u w:val="single"/>
        </w:rPr>
        <w:t>开封西湖文旅投资有限公司</w:t>
      </w:r>
    </w:p>
    <w:p w14:paraId="1940D073">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住址：</w:t>
      </w:r>
      <w:r>
        <w:rPr>
          <w:rFonts w:hint="eastAsia" w:ascii="仿宋_GB2312" w:hAnsi="仿宋_GB2312" w:eastAsia="仿宋_GB2312" w:cs="仿宋_GB2312"/>
          <w:sz w:val="24"/>
          <w:szCs w:val="24"/>
          <w:u w:val="single"/>
        </w:rPr>
        <w:t>河南自贸试验区开封片区汉兴西路与八大街交叉口</w:t>
      </w:r>
    </w:p>
    <w:p w14:paraId="208EB28B">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bCs/>
          <w:sz w:val="24"/>
          <w:szCs w:val="24"/>
          <w:u w:val="single"/>
        </w:rPr>
      </w:pPr>
      <w:r>
        <w:rPr>
          <w:rFonts w:hint="eastAsia" w:ascii="仿宋_GB2312" w:hAnsi="仿宋_GB2312" w:eastAsia="仿宋_GB2312" w:cs="仿宋_GB2312"/>
          <w:b/>
          <w:bCs/>
          <w:sz w:val="24"/>
          <w:szCs w:val="24"/>
        </w:rPr>
        <w:t>统一社会信用代码：</w:t>
      </w:r>
      <w:r>
        <w:rPr>
          <w:rFonts w:hint="eastAsia" w:ascii="仿宋_GB2312" w:hAnsi="仿宋_GB2312" w:eastAsia="仿宋_GB2312" w:cs="仿宋_GB2312"/>
          <w:sz w:val="24"/>
          <w:szCs w:val="24"/>
          <w:u w:val="single"/>
        </w:rPr>
        <w:t>914102003175043976</w:t>
      </w:r>
    </w:p>
    <w:p w14:paraId="49B1A6E8">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b/>
          <w:bCs/>
          <w:sz w:val="24"/>
          <w:szCs w:val="24"/>
        </w:rPr>
        <w:t>乙方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承包方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14:paraId="0690D3C6">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b/>
          <w:bCs/>
          <w:sz w:val="24"/>
          <w:szCs w:val="24"/>
        </w:rPr>
        <w:t>住址：</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14:paraId="49E3B89B">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b/>
          <w:bCs/>
          <w:sz w:val="24"/>
          <w:szCs w:val="24"/>
          <w:lang w:val="en-US" w:eastAsia="zh-CN"/>
        </w:rPr>
        <w:t>身份证号</w:t>
      </w:r>
      <w:r>
        <w:rPr>
          <w:rFonts w:hint="eastAsia" w:ascii="仿宋_GB2312" w:hAnsi="仿宋_GB2312" w:eastAsia="仿宋_GB2312" w:cs="仿宋_GB2312"/>
          <w:b/>
          <w:bCs/>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p>
    <w:p w14:paraId="138A9102">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b/>
          <w:bCs/>
          <w:sz w:val="24"/>
          <w:szCs w:val="24"/>
          <w:lang w:val="en-US" w:eastAsia="zh-CN"/>
        </w:rPr>
        <w:t>手机号：</w:t>
      </w:r>
      <w:r>
        <w:rPr>
          <w:rFonts w:hint="eastAsia" w:ascii="仿宋_GB2312" w:hAnsi="仿宋_GB2312" w:eastAsia="仿宋_GB2312" w:cs="仿宋_GB2312"/>
          <w:sz w:val="24"/>
          <w:szCs w:val="24"/>
          <w:u w:val="single"/>
          <w:lang w:val="en-US" w:eastAsia="zh-CN"/>
        </w:rPr>
        <w:t xml:space="preserve">                                  </w:t>
      </w:r>
    </w:p>
    <w:p w14:paraId="39A63C6C">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根据《中华人民共和国民法典》等相关法律、法规的规定，甲、乙双方在“平等互利、协商一致”的基础上，就乙方</w:t>
      </w:r>
      <w:r>
        <w:rPr>
          <w:rFonts w:hint="eastAsia" w:ascii="仿宋_GB2312" w:hAnsi="仿宋_GB2312" w:eastAsia="仿宋_GB2312" w:cs="仿宋_GB2312"/>
          <w:sz w:val="24"/>
          <w:szCs w:val="24"/>
          <w:lang w:val="en-US" w:eastAsia="zh-CN"/>
        </w:rPr>
        <w:t>承包</w:t>
      </w: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银滩卡丁车训练营、银滩小火车项目</w:t>
      </w:r>
      <w:r>
        <w:rPr>
          <w:rFonts w:hint="eastAsia" w:ascii="仿宋_GB2312" w:hAnsi="仿宋_GB2312" w:eastAsia="仿宋_GB2312" w:cs="仿宋_GB2312"/>
          <w:sz w:val="24"/>
          <w:szCs w:val="24"/>
        </w:rPr>
        <w:t>经营权一事，为明确双方的权利、义务及相关事宜，特订立如下协议：</w:t>
      </w:r>
    </w:p>
    <w:p w14:paraId="2F8AF4BD">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第一条：</w:t>
      </w:r>
      <w:r>
        <w:rPr>
          <w:rFonts w:hint="eastAsia" w:ascii="仿宋_GB2312" w:hAnsi="仿宋_GB2312" w:eastAsia="仿宋_GB2312" w:cs="仿宋_GB2312"/>
          <w:b/>
          <w:sz w:val="24"/>
          <w:szCs w:val="24"/>
          <w:lang w:val="en-US" w:eastAsia="zh-CN"/>
        </w:rPr>
        <w:t>项目概况及经营权期限</w:t>
      </w:r>
      <w:r>
        <w:rPr>
          <w:rFonts w:hint="eastAsia" w:ascii="仿宋_GB2312" w:hAnsi="仿宋_GB2312" w:eastAsia="仿宋_GB2312" w:cs="仿宋_GB2312"/>
          <w:b/>
          <w:sz w:val="24"/>
          <w:szCs w:val="24"/>
          <w:lang w:val="en-US" w:eastAsia="zh-CN"/>
        </w:rPr>
        <w:tab/>
      </w:r>
    </w:p>
    <w:p w14:paraId="091BC6FF">
      <w:pPr>
        <w:keepNext w:val="0"/>
        <w:keepLines w:val="0"/>
        <w:pageBreakBefore w:val="0"/>
        <w:widowControl w:val="0"/>
        <w:numPr>
          <w:ilvl w:val="0"/>
          <w:numId w:val="0"/>
        </w:numPr>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乙方承包甲方</w:t>
      </w:r>
      <w:r>
        <w:rPr>
          <w:rFonts w:hint="eastAsia" w:ascii="仿宋_GB2312" w:hAnsi="仿宋_GB2312" w:eastAsia="仿宋_GB2312" w:cs="仿宋_GB2312"/>
          <w:sz w:val="24"/>
          <w:szCs w:val="24"/>
          <w:lang w:val="en-US" w:eastAsia="zh-CN"/>
        </w:rPr>
        <w:t>位于库区西岸二号岗内和库区范围内银滩卡丁车训练营、银滩小火车项目。</w:t>
      </w:r>
    </w:p>
    <w:p w14:paraId="4BD96CB2">
      <w:pPr>
        <w:keepNext w:val="0"/>
        <w:keepLines w:val="0"/>
        <w:pageBreakBefore w:val="0"/>
        <w:widowControl w:val="0"/>
        <w:numPr>
          <w:ilvl w:val="0"/>
          <w:numId w:val="0"/>
        </w:numPr>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2、该项目由甲方提供运营资料（清单见附1）。该项目包含银滩卡丁车训练营（包含银滩卡丁车训练营跑道500米、售票房、仓库2间、便民超市一间经营权）、银滩小火车经营权（限定两辆小火车）。</w:t>
      </w:r>
    </w:p>
    <w:p w14:paraId="09A821EE">
      <w:pPr>
        <w:keepNext w:val="0"/>
        <w:keepLines w:val="0"/>
        <w:pageBreakBefore w:val="0"/>
        <w:widowControl w:val="0"/>
        <w:numPr>
          <w:ilvl w:val="0"/>
          <w:numId w:val="0"/>
        </w:numPr>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该项目</w:t>
      </w:r>
      <w:r>
        <w:rPr>
          <w:rFonts w:hint="eastAsia" w:ascii="仿宋_GB2312" w:hAnsi="仿宋_GB2312" w:eastAsia="仿宋_GB2312" w:cs="仿宋_GB2312"/>
          <w:sz w:val="24"/>
          <w:szCs w:val="24"/>
        </w:rPr>
        <w:t>经营权期限为3年</w:t>
      </w:r>
      <w:r>
        <w:rPr>
          <w:rFonts w:hint="eastAsia" w:ascii="仿宋_GB2312" w:hAnsi="仿宋_GB2312" w:eastAsia="仿宋_GB2312" w:cs="仿宋_GB2312"/>
          <w:sz w:val="24"/>
          <w:szCs w:val="24"/>
          <w:lang w:eastAsia="zh-CN"/>
        </w:rPr>
        <w:t>。</w:t>
      </w:r>
    </w:p>
    <w:p w14:paraId="7936E958">
      <w:pPr>
        <w:keepNext w:val="0"/>
        <w:keepLines w:val="0"/>
        <w:pageBreakBefore w:val="0"/>
        <w:widowControl w:val="0"/>
        <w:numPr>
          <w:ilvl w:val="0"/>
          <w:numId w:val="0"/>
        </w:numPr>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第二条：</w:t>
      </w:r>
      <w:r>
        <w:rPr>
          <w:rFonts w:hint="eastAsia" w:ascii="仿宋_GB2312" w:hAnsi="仿宋_GB2312" w:eastAsia="仿宋_GB2312" w:cs="仿宋_GB2312"/>
          <w:b/>
          <w:sz w:val="24"/>
          <w:szCs w:val="24"/>
          <w:lang w:val="en-US" w:eastAsia="zh-CN"/>
        </w:rPr>
        <w:t>承包期限及免承包款期</w:t>
      </w:r>
    </w:p>
    <w:p w14:paraId="1E854738">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经营权免承包款期</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lang w:val="en-US" w:eastAsia="zh-CN"/>
        </w:rPr>
        <w:t>30</w:t>
      </w:r>
      <w:r>
        <w:rPr>
          <w:rFonts w:hint="eastAsia" w:ascii="仿宋_GB2312" w:hAnsi="仿宋_GB2312" w:eastAsia="仿宋_GB2312" w:cs="仿宋_GB2312"/>
          <w:sz w:val="24"/>
          <w:szCs w:val="24"/>
        </w:rPr>
        <w:t>天，自</w:t>
      </w:r>
      <w:r>
        <w:rPr>
          <w:rFonts w:hint="eastAsia" w:ascii="仿宋_GB2312" w:hAnsi="仿宋_GB2312" w:eastAsia="仿宋_GB2312" w:cs="仿宋_GB2312"/>
          <w:sz w:val="24"/>
          <w:szCs w:val="24"/>
          <w:u w:val="single"/>
          <w:lang w:val="en-US" w:eastAsia="zh-CN"/>
        </w:rPr>
        <w:t>2026</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lang w:val="en-US" w:eastAsia="zh-CN"/>
        </w:rPr>
        <w:t>2026</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w:t>
      </w:r>
    </w:p>
    <w:p w14:paraId="14F44CDB">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期限为</w:t>
      </w:r>
      <w:r>
        <w:rPr>
          <w:rFonts w:hint="eastAsia" w:ascii="仿宋_GB2312" w:hAnsi="仿宋_GB2312" w:eastAsia="仿宋_GB2312" w:cs="仿宋_GB2312"/>
          <w:sz w:val="24"/>
          <w:szCs w:val="24"/>
          <w:u w:val="single"/>
          <w:lang w:val="en-US" w:eastAsia="zh-CN"/>
        </w:rPr>
        <w:t xml:space="preserve"> 5 </w:t>
      </w:r>
      <w:r>
        <w:rPr>
          <w:rFonts w:hint="eastAsia" w:ascii="仿宋_GB2312" w:hAnsi="仿宋_GB2312" w:eastAsia="仿宋_GB2312" w:cs="仿宋_GB2312"/>
          <w:sz w:val="24"/>
          <w:szCs w:val="24"/>
        </w:rPr>
        <w:t>年，自</w:t>
      </w:r>
      <w:r>
        <w:rPr>
          <w:rFonts w:hint="eastAsia" w:ascii="仿宋_GB2312" w:hAnsi="仿宋_GB2312" w:eastAsia="仿宋_GB2312" w:cs="仿宋_GB2312"/>
          <w:sz w:val="24"/>
          <w:szCs w:val="24"/>
          <w:u w:val="single"/>
          <w:lang w:val="en-US" w:eastAsia="zh-CN"/>
        </w:rPr>
        <w:t>2026</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lang w:val="en-US" w:eastAsia="zh-CN"/>
        </w:rPr>
        <w:t>2031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w:t>
      </w:r>
    </w:p>
    <w:p w14:paraId="2DFC42D0">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第三条：承包款及履约保证金</w:t>
      </w:r>
    </w:p>
    <w:p w14:paraId="71037BAC">
      <w:pPr>
        <w:pStyle w:val="2"/>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经营权</w:t>
      </w:r>
      <w:r>
        <w:rPr>
          <w:rFonts w:hint="eastAsia" w:ascii="仿宋_GB2312" w:hAnsi="仿宋_GB2312" w:eastAsia="仿宋_GB2312" w:cs="仿宋_GB2312"/>
          <w:sz w:val="24"/>
          <w:szCs w:val="24"/>
        </w:rPr>
        <w:t>承包款为竞拍成交年承包款，即（人民币）大写：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每年，小写：¥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元/年，其中不含税金额（人民币）大写：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每年，小写：¥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元/年；税金（人民币）大写：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每年，小写：¥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元/年。</w:t>
      </w:r>
    </w:p>
    <w:p w14:paraId="450863D5">
      <w:pPr>
        <w:pStyle w:val="7"/>
        <w:keepNext w:val="0"/>
        <w:keepLines w:val="0"/>
        <w:pageBreakBefore w:val="0"/>
        <w:widowControl w:val="0"/>
        <w:kinsoku/>
        <w:wordWrap/>
        <w:overflowPunct/>
        <w:topLinePunct w:val="0"/>
        <w:autoSpaceDE/>
        <w:autoSpaceDN/>
        <w:bidi w:val="0"/>
        <w:adjustRightInd/>
        <w:spacing w:line="420" w:lineRule="exact"/>
        <w:ind w:firstLine="56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履约保证金（人民币）大写：</w:t>
      </w:r>
      <w:r>
        <w:rPr>
          <w:rFonts w:hint="eastAsia" w:ascii="仿宋_GB2312" w:hAnsi="仿宋_GB2312" w:eastAsia="仿宋_GB2312" w:cs="仿宋_GB2312"/>
          <w:sz w:val="24"/>
          <w:szCs w:val="24"/>
          <w:u w:val="single"/>
          <w:lang w:val="en-US" w:eastAsia="zh-CN"/>
        </w:rPr>
        <w:t>伍</w:t>
      </w:r>
      <w:r>
        <w:rPr>
          <w:rFonts w:hint="eastAsia" w:ascii="仿宋_GB2312" w:hAnsi="仿宋_GB2312" w:eastAsia="仿宋_GB2312" w:cs="仿宋_GB2312"/>
          <w:sz w:val="24"/>
          <w:szCs w:val="24"/>
          <w:u w:val="single"/>
        </w:rPr>
        <w:t>万元整</w:t>
      </w:r>
      <w:r>
        <w:rPr>
          <w:rFonts w:hint="eastAsia" w:ascii="仿宋_GB2312" w:hAnsi="仿宋_GB2312" w:eastAsia="仿宋_GB2312" w:cs="仿宋_GB2312"/>
          <w:sz w:val="24"/>
          <w:szCs w:val="24"/>
        </w:rPr>
        <w:t>，小写：¥</w:t>
      </w:r>
      <w:r>
        <w:rPr>
          <w:rFonts w:hint="eastAsia" w:ascii="仿宋_GB2312" w:hAnsi="仿宋_GB2312" w:eastAsia="仿宋_GB2312" w:cs="仿宋_GB2312"/>
          <w:sz w:val="24"/>
          <w:szCs w:val="24"/>
          <w:u w:val="single"/>
          <w:lang w:val="en-US" w:eastAsia="zh-CN"/>
        </w:rPr>
        <w:t>5</w:t>
      </w:r>
      <w:r>
        <w:rPr>
          <w:rFonts w:hint="eastAsia" w:ascii="仿宋_GB2312" w:hAnsi="仿宋_GB2312" w:eastAsia="仿宋_GB2312" w:cs="仿宋_GB2312"/>
          <w:sz w:val="24"/>
          <w:szCs w:val="24"/>
          <w:u w:val="single"/>
        </w:rPr>
        <w:t>0000</w:t>
      </w:r>
      <w:r>
        <w:rPr>
          <w:rFonts w:hint="eastAsia" w:ascii="仿宋_GB2312" w:hAnsi="仿宋_GB2312" w:eastAsia="仿宋_GB2312" w:cs="仿宋_GB2312"/>
          <w:sz w:val="24"/>
          <w:szCs w:val="24"/>
        </w:rPr>
        <w:t>元。合同签订前乙方向甲方指定账户通过转账方式支付履约保证金。该履约保证金在合同终止或解除后7日内由甲方无息退还乙方，但乙方因欠交相关费用及违约被扣除部分除外。</w:t>
      </w:r>
    </w:p>
    <w:p w14:paraId="6C70A017">
      <w:pPr>
        <w:pStyle w:val="2"/>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上述租金不包括用电、供水、垃圾处理、泔水处理、安全防护等费用。用电、供水、垃圾处理、泔水处理、安全防护等费用由乙方按照相关部门规定承担。</w:t>
      </w:r>
    </w:p>
    <w:p w14:paraId="5BA245AF">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2、付款方式：</w:t>
      </w:r>
    </w:p>
    <w:p w14:paraId="523F8C51">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第一年</w:t>
      </w:r>
      <w:r>
        <w:rPr>
          <w:rFonts w:hint="eastAsia" w:ascii="仿宋_GB2312" w:hAnsi="仿宋_GB2312" w:eastAsia="仿宋_GB2312" w:cs="仿宋_GB2312"/>
          <w:sz w:val="24"/>
          <w:szCs w:val="24"/>
          <w:lang w:val="en-US" w:eastAsia="zh-CN"/>
        </w:rPr>
        <w:t>经营权承包款</w:t>
      </w:r>
      <w:r>
        <w:rPr>
          <w:rFonts w:hint="eastAsia" w:ascii="仿宋_GB2312" w:hAnsi="仿宋_GB2312" w:eastAsia="仿宋_GB2312" w:cs="仿宋_GB2312"/>
          <w:sz w:val="24"/>
          <w:szCs w:val="24"/>
        </w:rPr>
        <w:t>在本合同生效之日起7日内，由乙方支付至甲方指定账户</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第二年至第五年</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经营权承包款</w:t>
      </w:r>
      <w:r>
        <w:rPr>
          <w:rFonts w:hint="eastAsia" w:ascii="仿宋_GB2312" w:hAnsi="仿宋_GB2312" w:eastAsia="仿宋_GB2312" w:cs="仿宋_GB2312"/>
          <w:sz w:val="24"/>
          <w:szCs w:val="24"/>
        </w:rPr>
        <w:t>分别于乙方前一年</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期满30日前支付至甲方指定账户。</w:t>
      </w:r>
    </w:p>
    <w:p w14:paraId="0BCC80DB">
      <w:pPr>
        <w:pStyle w:val="7"/>
        <w:keepNext w:val="0"/>
        <w:keepLines w:val="0"/>
        <w:pageBreakBefore w:val="0"/>
        <w:widowControl w:val="0"/>
        <w:kinsoku/>
        <w:wordWrap/>
        <w:overflowPunct/>
        <w:topLinePunct w:val="0"/>
        <w:autoSpaceDE/>
        <w:autoSpaceDN/>
        <w:bidi w:val="0"/>
        <w:adjustRightInd/>
        <w:snapToGrid w:val="0"/>
        <w:spacing w:line="420" w:lineRule="exact"/>
        <w:ind w:left="420"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（1）户名：</w:t>
      </w:r>
      <w:r>
        <w:rPr>
          <w:rFonts w:hint="eastAsia" w:ascii="仿宋_GB2312" w:hAnsi="仿宋_GB2312" w:eastAsia="仿宋_GB2312" w:cs="仿宋_GB2312"/>
          <w:sz w:val="24"/>
          <w:szCs w:val="24"/>
          <w:u w:val="single"/>
        </w:rPr>
        <w:t>开封西湖文旅投资有限公司</w:t>
      </w:r>
      <w:r>
        <w:rPr>
          <w:rFonts w:hint="eastAsia" w:ascii="仿宋_GB2312" w:hAnsi="仿宋_GB2312" w:eastAsia="仿宋_GB2312" w:cs="仿宋_GB2312"/>
          <w:sz w:val="24"/>
          <w:szCs w:val="24"/>
          <w:u w:val="single"/>
          <w:lang w:val="en-US" w:eastAsia="zh-CN"/>
        </w:rPr>
        <w:t xml:space="preserve">   </w:t>
      </w:r>
    </w:p>
    <w:p w14:paraId="7AB371DE">
      <w:pPr>
        <w:pStyle w:val="7"/>
        <w:keepNext w:val="0"/>
        <w:keepLines w:val="0"/>
        <w:pageBreakBefore w:val="0"/>
        <w:widowControl w:val="0"/>
        <w:kinsoku/>
        <w:wordWrap/>
        <w:overflowPunct/>
        <w:topLinePunct w:val="0"/>
        <w:autoSpaceDE/>
        <w:autoSpaceDN/>
        <w:bidi w:val="0"/>
        <w:adjustRightInd/>
        <w:snapToGrid w:val="0"/>
        <w:spacing w:line="420" w:lineRule="exact"/>
        <w:ind w:left="420" w:firstLine="0" w:firstLineChars="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none"/>
        </w:rPr>
        <w:t>（2）</w:t>
      </w:r>
      <w:r>
        <w:rPr>
          <w:rFonts w:hint="eastAsia" w:ascii="仿宋_GB2312" w:hAnsi="仿宋_GB2312" w:eastAsia="仿宋_GB2312" w:cs="仿宋_GB2312"/>
          <w:sz w:val="24"/>
          <w:szCs w:val="24"/>
          <w:u w:val="single"/>
        </w:rPr>
        <w:t xml:space="preserve">开户行：中国银行新区支行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14:paraId="66CDBBAD">
      <w:pPr>
        <w:pStyle w:val="7"/>
        <w:keepNext w:val="0"/>
        <w:keepLines w:val="0"/>
        <w:pageBreakBefore w:val="0"/>
        <w:widowControl w:val="0"/>
        <w:kinsoku/>
        <w:wordWrap/>
        <w:overflowPunct/>
        <w:topLinePunct w:val="0"/>
        <w:autoSpaceDE/>
        <w:autoSpaceDN/>
        <w:bidi w:val="0"/>
        <w:adjustRightInd/>
        <w:snapToGrid w:val="0"/>
        <w:spacing w:line="420" w:lineRule="exact"/>
        <w:ind w:left="420" w:firstLine="0" w:firstLineChars="0"/>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none"/>
        </w:rPr>
        <w:t>（3）</w:t>
      </w:r>
      <w:r>
        <w:rPr>
          <w:rFonts w:hint="eastAsia" w:ascii="仿宋_GB2312" w:hAnsi="仿宋_GB2312" w:eastAsia="仿宋_GB2312" w:cs="仿宋_GB2312"/>
          <w:sz w:val="24"/>
          <w:szCs w:val="24"/>
          <w:u w:val="single"/>
        </w:rPr>
        <w:t xml:space="preserve">银行账号：253346541978 </w:t>
      </w:r>
      <w:r>
        <w:rPr>
          <w:rFonts w:hint="eastAsia" w:ascii="仿宋_GB2312" w:hAnsi="仿宋_GB2312" w:eastAsia="仿宋_GB2312" w:cs="仿宋_GB2312"/>
          <w:sz w:val="24"/>
          <w:szCs w:val="24"/>
          <w:u w:val="single"/>
          <w:lang w:val="en-US" w:eastAsia="zh-CN"/>
        </w:rPr>
        <w:t xml:space="preserve">         </w:t>
      </w:r>
    </w:p>
    <w:p w14:paraId="19470F7C">
      <w:pPr>
        <w:pStyle w:val="7"/>
        <w:keepNext w:val="0"/>
        <w:keepLines w:val="0"/>
        <w:pageBreakBefore w:val="0"/>
        <w:widowControl w:val="0"/>
        <w:kinsoku/>
        <w:wordWrap/>
        <w:overflowPunct/>
        <w:topLinePunct w:val="0"/>
        <w:autoSpaceDE/>
        <w:autoSpaceDN/>
        <w:bidi w:val="0"/>
        <w:adjustRightInd/>
        <w:spacing w:line="420" w:lineRule="exact"/>
        <w:ind w:firstLine="56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3、甲方收取</w:t>
      </w:r>
      <w:r>
        <w:rPr>
          <w:rFonts w:hint="eastAsia" w:ascii="仿宋_GB2312" w:hAnsi="仿宋_GB2312" w:eastAsia="仿宋_GB2312" w:cs="仿宋_GB2312"/>
          <w:sz w:val="24"/>
          <w:szCs w:val="24"/>
          <w:lang w:val="en-US" w:eastAsia="zh-CN"/>
        </w:rPr>
        <w:t>承包款</w:t>
      </w:r>
      <w:r>
        <w:rPr>
          <w:rFonts w:hint="eastAsia" w:ascii="仿宋_GB2312" w:hAnsi="仿宋_GB2312" w:eastAsia="仿宋_GB2312" w:cs="仿宋_GB2312"/>
          <w:sz w:val="24"/>
          <w:szCs w:val="24"/>
        </w:rPr>
        <w:t>后须向乙方出具正式发票或收据。</w:t>
      </w:r>
    </w:p>
    <w:p w14:paraId="4F2DB47B">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第四条：甲方权利与义务</w:t>
      </w:r>
    </w:p>
    <w:p w14:paraId="214E7BEA">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1、甲方有权对乙方在本合同约定范围内经营管理行为的合法、合规性进行监督。</w:t>
      </w:r>
    </w:p>
    <w:p w14:paraId="14F2F741">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2、协助乙方用电相关事宜。</w:t>
      </w:r>
    </w:p>
    <w:p w14:paraId="18C7E044">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3、甲方有权对乙方在项目运营过程中的</w:t>
      </w:r>
      <w:r>
        <w:rPr>
          <w:rFonts w:hint="eastAsia" w:ascii="仿宋_GB2312" w:hAnsi="仿宋_GB2312" w:eastAsia="仿宋_GB2312" w:cs="仿宋_GB2312"/>
          <w:sz w:val="24"/>
          <w:szCs w:val="24"/>
          <w:lang w:val="en-US" w:eastAsia="zh-CN"/>
        </w:rPr>
        <w:t>设备安全</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运营规范、</w:t>
      </w:r>
      <w:r>
        <w:rPr>
          <w:rFonts w:hint="eastAsia" w:ascii="仿宋_GB2312" w:hAnsi="仿宋_GB2312" w:eastAsia="仿宋_GB2312" w:cs="仿宋_GB2312"/>
          <w:sz w:val="24"/>
          <w:szCs w:val="24"/>
        </w:rPr>
        <w:t>环境卫生、人员健康、消防安全等方面进行检查，对不符合规定要求的，甲方有权要求乙方立即整改，并以书面形式通知乙方，如连续两次出现上述问题，甲方有权单方面解除合同，并视作乙方违约。</w:t>
      </w:r>
    </w:p>
    <w:p w14:paraId="3A194BE5">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4、甲方提供的项目相关设施设备所有权归属甲方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见附1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23780E7F">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期结束或</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期间终止合同时，</w:t>
      </w:r>
      <w:r>
        <w:rPr>
          <w:rFonts w:hint="eastAsia" w:ascii="仿宋_GB2312" w:hAnsi="仿宋_GB2312" w:eastAsia="仿宋_GB2312" w:cs="仿宋_GB2312"/>
          <w:sz w:val="24"/>
          <w:szCs w:val="24"/>
          <w:lang w:val="en-US" w:eastAsia="zh-CN"/>
        </w:rPr>
        <w:t>甲方</w:t>
      </w:r>
      <w:r>
        <w:rPr>
          <w:rFonts w:hint="eastAsia" w:ascii="仿宋_GB2312" w:hAnsi="仿宋_GB2312" w:eastAsia="仿宋_GB2312" w:cs="仿宋_GB2312"/>
          <w:sz w:val="24"/>
          <w:szCs w:val="24"/>
        </w:rPr>
        <w:t>收验设施</w:t>
      </w:r>
      <w:r>
        <w:rPr>
          <w:rFonts w:hint="eastAsia" w:ascii="仿宋_GB2312" w:hAnsi="仿宋_GB2312" w:eastAsia="仿宋_GB2312" w:cs="仿宋_GB2312"/>
          <w:sz w:val="24"/>
          <w:szCs w:val="24"/>
          <w:lang w:val="en-US" w:eastAsia="zh-CN"/>
        </w:rPr>
        <w:t>设备</w:t>
      </w:r>
      <w:r>
        <w:rPr>
          <w:rFonts w:hint="eastAsia" w:ascii="仿宋_GB2312" w:hAnsi="仿宋_GB2312" w:eastAsia="仿宋_GB2312" w:cs="仿宋_GB2312"/>
          <w:sz w:val="24"/>
          <w:szCs w:val="24"/>
        </w:rPr>
        <w:t>；收验合格，费用结清，办理收验交接手续。</w:t>
      </w:r>
    </w:p>
    <w:p w14:paraId="1106FA87">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期间内遇不可抗力、水库规划调整、政府行为、相关政策变化或行业主管部门政策需终止合同的，甲方提前一个月通知乙方办理退租手续。</w:t>
      </w:r>
    </w:p>
    <w:p w14:paraId="027B652A">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第五条：乙方权利和义务</w:t>
      </w:r>
    </w:p>
    <w:p w14:paraId="157F79FA">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乙方应在本合同签订之日起，在约定的经营权免承包款期内完成银滩卡丁车训练营、银滩小火车项目进场工作。</w:t>
      </w:r>
    </w:p>
    <w:p w14:paraId="76A3462F">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乙方需承担甲方在合同签订前已售卡券，直至消耗完毕。</w:t>
      </w:r>
    </w:p>
    <w:p w14:paraId="0EB72A7E">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严格执行国家法律法规和甲方的相关管理规定，且只能在本次中标之范围内合法文明经营，不得超区域或</w:t>
      </w:r>
      <w:r>
        <w:rPr>
          <w:rFonts w:hint="eastAsia" w:ascii="仿宋_GB2312" w:hAnsi="仿宋_GB2312" w:eastAsia="仿宋_GB2312" w:cs="仿宋_GB2312"/>
          <w:sz w:val="24"/>
          <w:szCs w:val="24"/>
          <w:lang w:val="en-US" w:eastAsia="zh-CN"/>
        </w:rPr>
        <w:t>超出约定业态</w:t>
      </w:r>
      <w:r>
        <w:rPr>
          <w:rFonts w:hint="eastAsia" w:ascii="仿宋_GB2312" w:hAnsi="仿宋_GB2312" w:eastAsia="仿宋_GB2312" w:cs="仿宋_GB2312"/>
          <w:sz w:val="24"/>
          <w:szCs w:val="24"/>
        </w:rPr>
        <w:t>经营。</w:t>
      </w:r>
    </w:p>
    <w:p w14:paraId="2DA0AA10">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小火车要在甲方指定的线路进行运营，严禁超区域运营。</w:t>
      </w:r>
    </w:p>
    <w:p w14:paraId="35D0650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、科学合理使用</w:t>
      </w:r>
      <w:r>
        <w:rPr>
          <w:rFonts w:hint="eastAsia" w:ascii="仿宋_GB2312" w:hAnsi="仿宋_GB2312" w:eastAsia="仿宋_GB2312" w:cs="仿宋_GB2312"/>
          <w:sz w:val="24"/>
          <w:szCs w:val="24"/>
          <w:lang w:val="en-US" w:eastAsia="zh-CN"/>
        </w:rPr>
        <w:t>经营场地</w:t>
      </w:r>
      <w:r>
        <w:rPr>
          <w:rFonts w:hint="eastAsia" w:ascii="仿宋_GB2312" w:hAnsi="仿宋_GB2312" w:eastAsia="仿宋_GB2312" w:cs="仿宋_GB2312"/>
          <w:sz w:val="24"/>
          <w:szCs w:val="24"/>
        </w:rPr>
        <w:t>，负责</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期间的一切安全责任及纠纷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且需建立完善的安全管理制度，确保游乐设施的安全运行。具体要求如下：</w:t>
      </w:r>
    </w:p>
    <w:p w14:paraId="7BEC36E0">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每日营业前对游乐设施进行全面检查，确保设备无故障、无安全隐患。</w:t>
      </w:r>
    </w:p>
    <w:p w14:paraId="330355CE">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配备专业的安全管理人员及维护人员，负责现场的安全监督、应急处理和设备设施的维护保养。</w:t>
      </w:r>
    </w:p>
    <w:p w14:paraId="5A02ED51">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承租人需为银滩卡丁车训练营、银滩小火车项目购买足额的商业保险，以应对可能出现的安全事故。</w:t>
      </w:r>
    </w:p>
    <w:p w14:paraId="6BE96DAF">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在经营区域设置明显的安全警示标识、安全须知及必要的围挡，提醒游客注意安全。</w:t>
      </w:r>
    </w:p>
    <w:p w14:paraId="62F44214">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每日例行检查： 包括但不限于刹车效能、油门回位、方向盘松紧、轮胎磨损与气压、车身结构完整性、安全带功能，巡查赛道，确保无杂物、护栏无松动、轮胎墙无位移。</w:t>
      </w:r>
    </w:p>
    <w:p w14:paraId="71B6A472">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人员安全：顾客必须佩戴头盔，对所有顾客上场前必须进行安全培训，内容包括：基础操作、赛道规则、意外处理等。 </w:t>
      </w:r>
    </w:p>
    <w:p w14:paraId="536CEE51">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定期对操作人员进行安全培训，涵盖安全规范、服务流程、基础车辆知识、急救技能，确保其熟悉设备操作规程和应急处理流程。</w:t>
      </w:r>
    </w:p>
    <w:p w14:paraId="1CA943F2">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严格遵守库区管理规定，确保运营区域内的人员和设备安全，避免对游客造成干扰或安全隐患。</w:t>
      </w:r>
    </w:p>
    <w:p w14:paraId="34CEF677">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采取必要措施防止卡丁车超区运营，防止车辆超区运营以发生危险。</w:t>
      </w:r>
    </w:p>
    <w:p w14:paraId="48280B84">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一旦出现安全责任事故及纠纷，由此</w:t>
      </w:r>
      <w:r>
        <w:rPr>
          <w:rFonts w:hint="eastAsia" w:ascii="仿宋_GB2312" w:hAnsi="仿宋_GB2312" w:eastAsia="仿宋_GB2312" w:cs="仿宋_GB2312"/>
          <w:sz w:val="24"/>
          <w:szCs w:val="24"/>
        </w:rPr>
        <w:t>造成的一切法律后果均由乙方承担。</w:t>
      </w:r>
    </w:p>
    <w:p w14:paraId="79D3D9D7">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乙方应维护好甲方提供的设备设施，负责保养</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维修等工作，待该协议结束或终止时经营资料（甲方提供的所有设施、设备）由甲方进行验收，应保持甲方交付时状态及数量（除电池、塑料件正常老化除外），损坏、遗失部分由乙方进行维修或照价赔偿。</w:t>
      </w:r>
    </w:p>
    <w:p w14:paraId="033AD01A">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、接受甲方及政府职能机构对经营范围、卫生、质量、价格、广告、服务等方面的监督、检查，并服从管理，及时整改。</w:t>
      </w:r>
    </w:p>
    <w:p w14:paraId="248341DE">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8、在甲方指定地点进行充电，并按库区电费收费标准规定及时向甲方交纳电费。</w:t>
      </w:r>
    </w:p>
    <w:p w14:paraId="143C8620">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、保持</w:t>
      </w:r>
      <w:r>
        <w:rPr>
          <w:rFonts w:hint="eastAsia" w:ascii="仿宋_GB2312" w:hAnsi="仿宋_GB2312" w:eastAsia="仿宋_GB2312" w:cs="仿宋_GB2312"/>
          <w:sz w:val="24"/>
          <w:szCs w:val="24"/>
          <w:lang w:val="en-US" w:eastAsia="zh-CN"/>
        </w:rPr>
        <w:t>经营区域</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环境卫生不受损坏</w:t>
      </w:r>
      <w:r>
        <w:rPr>
          <w:rFonts w:hint="eastAsia" w:ascii="仿宋_GB2312" w:hAnsi="仿宋_GB2312" w:eastAsia="仿宋_GB2312" w:cs="仿宋_GB2312"/>
          <w:sz w:val="24"/>
          <w:szCs w:val="24"/>
        </w:rPr>
        <w:t>，并负责日常维修维护，不得在</w:t>
      </w:r>
      <w:r>
        <w:rPr>
          <w:rFonts w:hint="eastAsia" w:ascii="仿宋_GB2312" w:hAnsi="仿宋_GB2312" w:eastAsia="仿宋_GB2312" w:cs="仿宋_GB2312"/>
          <w:sz w:val="24"/>
          <w:szCs w:val="24"/>
          <w:lang w:val="en-US" w:eastAsia="zh-CN"/>
        </w:rPr>
        <w:t>经营区域</w:t>
      </w:r>
      <w:r>
        <w:rPr>
          <w:rFonts w:hint="eastAsia" w:ascii="仿宋_GB2312" w:hAnsi="仿宋_GB2312" w:eastAsia="仿宋_GB2312" w:cs="仿宋_GB2312"/>
          <w:sz w:val="24"/>
          <w:szCs w:val="24"/>
        </w:rPr>
        <w:t>私搭乱建，破坏绿地及周边配套设施等行为。</w:t>
      </w:r>
      <w:r>
        <w:rPr>
          <w:rFonts w:hint="eastAsia" w:ascii="仿宋_GB2312" w:hAnsi="仿宋_GB2312" w:eastAsia="仿宋_GB2312" w:cs="仿宋_GB2312"/>
          <w:sz w:val="24"/>
          <w:szCs w:val="24"/>
          <w:lang w:val="en-US" w:eastAsia="zh-CN"/>
        </w:rPr>
        <w:t>报甲方同意后，</w:t>
      </w:r>
      <w:r>
        <w:rPr>
          <w:rFonts w:hint="eastAsia" w:ascii="仿宋_GB2312" w:hAnsi="仿宋_GB2312" w:eastAsia="仿宋_GB2312" w:cs="仿宋_GB2312"/>
          <w:sz w:val="24"/>
          <w:szCs w:val="24"/>
        </w:rPr>
        <w:t>可根据经营需要增添附设备、设施，但不得影响</w:t>
      </w:r>
      <w:r>
        <w:rPr>
          <w:rFonts w:hint="eastAsia" w:ascii="仿宋_GB2312" w:hAnsi="仿宋_GB2312" w:eastAsia="仿宋_GB2312" w:cs="仿宋_GB2312"/>
          <w:sz w:val="24"/>
          <w:szCs w:val="24"/>
          <w:lang w:val="en-US" w:eastAsia="zh-CN"/>
        </w:rPr>
        <w:t>项目经营范围内整体形象及安全</w:t>
      </w: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lang w:val="en-US" w:eastAsia="zh-CN"/>
        </w:rPr>
        <w:t>入场</w:t>
      </w:r>
      <w:r>
        <w:rPr>
          <w:rFonts w:hint="eastAsia" w:ascii="仿宋_GB2312" w:hAnsi="仿宋_GB2312" w:eastAsia="仿宋_GB2312" w:cs="仿宋_GB2312"/>
          <w:sz w:val="24"/>
          <w:szCs w:val="24"/>
        </w:rPr>
        <w:t>或改造过程中或经营活动中造成自身和他人人身和财产损失，均由乙方自行负责，与甲方无关。若甲方因此承担赔偿责任的，有权向乙方追偿，并要求乙方承担因追偿而支付的全部费用。</w:t>
      </w:r>
    </w:p>
    <w:p w14:paraId="511CBFCB">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、自行办理营业执照、相关行业证照、税务登记等证照，承担经营所发生的一切税费并承担相关责任，并在经营过程中规范用工，因乙方违法违规经营或其他违法违规行为造成的后果及损失由乙方自行承担。</w:t>
      </w:r>
    </w:p>
    <w:p w14:paraId="6139CFB4">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经营服务标准必须符合行业规范，经营服务人员经营工作期间必须着装整齐、言行文明，不得有酗酒等不文明行为，符合甲方企业文化和服务规范要求。乙方所有的经营活动，不得有损甲方的市场形象及生态环境。</w:t>
      </w:r>
    </w:p>
    <w:p w14:paraId="6004951F">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期间，乙方对经营安全负全部责任，自行采取防火、防盗等安全措施。加强用电安全，不得乱拖、乱接电线；乙方所造成的一切安全隐患（包括但不限于任何人身损害、财产损失），由乙方承担全责。</w:t>
      </w:r>
    </w:p>
    <w:p w14:paraId="21B790C2">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rPr>
        <w:t>、乙方不得将</w:t>
      </w:r>
      <w:r>
        <w:rPr>
          <w:rFonts w:hint="eastAsia" w:ascii="仿宋_GB2312" w:hAnsi="仿宋_GB2312" w:eastAsia="仿宋_GB2312" w:cs="仿宋_GB2312"/>
          <w:sz w:val="24"/>
          <w:szCs w:val="24"/>
          <w:lang w:val="en-US" w:eastAsia="zh-CN"/>
        </w:rPr>
        <w:t>该项目经营权</w:t>
      </w:r>
      <w:r>
        <w:rPr>
          <w:rFonts w:hint="eastAsia" w:ascii="仿宋_GB2312" w:hAnsi="仿宋_GB2312" w:eastAsia="仿宋_GB2312" w:cs="仿宋_GB2312"/>
          <w:sz w:val="24"/>
          <w:szCs w:val="24"/>
        </w:rPr>
        <w:t>转让给第三方，不得将</w:t>
      </w:r>
      <w:r>
        <w:rPr>
          <w:rFonts w:hint="eastAsia" w:ascii="仿宋_GB2312" w:hAnsi="仿宋_GB2312" w:eastAsia="仿宋_GB2312" w:cs="仿宋_GB2312"/>
          <w:sz w:val="24"/>
          <w:szCs w:val="24"/>
          <w:lang w:val="en-US" w:eastAsia="zh-CN"/>
        </w:rPr>
        <w:t>经营权承包场地</w:t>
      </w:r>
      <w:r>
        <w:rPr>
          <w:rFonts w:hint="eastAsia" w:ascii="仿宋_GB2312" w:hAnsi="仿宋_GB2312" w:eastAsia="仿宋_GB2312" w:cs="仿宋_GB2312"/>
          <w:sz w:val="24"/>
          <w:szCs w:val="24"/>
        </w:rPr>
        <w:t>用作抵（质）押、转让，不得以甲方名义进行经营和广告宣传活动</w:t>
      </w:r>
      <w:r>
        <w:rPr>
          <w:rFonts w:hint="eastAsia" w:ascii="仿宋_GB2312" w:hAnsi="仿宋_GB2312" w:eastAsia="仿宋_GB2312" w:cs="仿宋_GB2312"/>
          <w:sz w:val="24"/>
          <w:szCs w:val="24"/>
          <w:lang w:val="en-US" w:eastAsia="zh-CN"/>
        </w:rPr>
        <w:t>，乙方对项目的所有对外宣传及广告需经过甲方审批同意。</w:t>
      </w:r>
    </w:p>
    <w:p w14:paraId="5EB8910D">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sz w:val="24"/>
          <w:szCs w:val="24"/>
        </w:rPr>
        <w:t>、乙方需做好项目运营区域及周边的环境保护及卫生清理工作，</w:t>
      </w:r>
    </w:p>
    <w:p w14:paraId="649AFEE8">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如因乙方运营原因造成周边环境（如绿化、地面铺装等）破坏或污染，维修及更换费用由乙方承担。</w:t>
      </w:r>
    </w:p>
    <w:p w14:paraId="7C5F9596">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、乙方经营期间所雇佣的工作人员的工资、福利待遇、工伤、医疗、养老等保险费用及其他费用、工作人员人身财产安全均由乙方负责。乙方保证所雇佣人员符合相关法律法规的资质要求。</w:t>
      </w:r>
    </w:p>
    <w:p w14:paraId="1CC32490">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16</w:t>
      </w:r>
      <w:r>
        <w:rPr>
          <w:rFonts w:hint="eastAsia" w:ascii="仿宋_GB2312" w:hAnsi="仿宋_GB2312" w:eastAsia="仿宋_GB2312" w:cs="仿宋_GB2312"/>
          <w:sz w:val="24"/>
          <w:szCs w:val="24"/>
        </w:rPr>
        <w:t>、在经营过程中，如乙方出现其他经济问题，乙方自行处理与甲方无关，若因乙方原因导致项目无法正常运营或对甲方造成不利影响的（包括但不限于因乙方与第三人纠纷导致甲方需协助法院执行或对其他机关进行协助的），甲方有权立即解除合同。</w:t>
      </w:r>
    </w:p>
    <w:p w14:paraId="22702031">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第六条：违约责任</w:t>
      </w:r>
    </w:p>
    <w:p w14:paraId="7170EAC1">
      <w:pPr>
        <w:keepNext w:val="0"/>
        <w:keepLines w:val="0"/>
        <w:pageBreakBefore w:val="0"/>
        <w:widowControl w:val="0"/>
        <w:numPr>
          <w:ilvl w:val="0"/>
          <w:numId w:val="3"/>
        </w:numPr>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乙方未能按期缴纳</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4"/>
          <w:szCs w:val="24"/>
          <w14:textFill>
            <w14:solidFill>
              <w14:schemeClr w14:val="tx1"/>
            </w14:solidFill>
          </w14:textFill>
        </w:rPr>
        <w:t>的，每逾期一日应按照应付年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4"/>
          <w:szCs w:val="24"/>
          <w14:textFill>
            <w14:solidFill>
              <w14:schemeClr w14:val="tx1"/>
            </w14:solidFill>
          </w14:textFill>
        </w:rPr>
        <w:t>万分之五的标准向甲方支付违约金，逾期超过30日的，甲方有权单方解除合同。乙方应在合同解除之日起七日内将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运营</w:t>
      </w:r>
      <w:r>
        <w:rPr>
          <w:rFonts w:hint="eastAsia" w:ascii="仿宋_GB2312" w:hAnsi="仿宋_GB2312" w:eastAsia="仿宋_GB2312" w:cs="仿宋_GB2312"/>
          <w:color w:val="000000" w:themeColor="text1"/>
          <w:sz w:val="24"/>
          <w:szCs w:val="24"/>
          <w14:textFill>
            <w14:solidFill>
              <w14:schemeClr w14:val="tx1"/>
            </w14:solidFill>
          </w14:textFill>
        </w:rPr>
        <w:t>场地恢复原状交付甲方，每逾期一日，乙方应向甲方缴纳每日1000元违约金。</w:t>
      </w:r>
    </w:p>
    <w:p w14:paraId="3D6F8B73">
      <w:pPr>
        <w:keepNext w:val="0"/>
        <w:keepLines w:val="0"/>
        <w:pageBreakBefore w:val="0"/>
        <w:widowControl w:val="0"/>
        <w:numPr>
          <w:ilvl w:val="0"/>
          <w:numId w:val="3"/>
        </w:numPr>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租赁期间严禁乙方擅自终止</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转包</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分包</w:t>
      </w:r>
      <w:r>
        <w:rPr>
          <w:rFonts w:hint="eastAsia" w:ascii="仿宋_GB2312" w:hAnsi="仿宋_GB2312" w:eastAsia="仿宋_GB2312" w:cs="仿宋_GB2312"/>
          <w:color w:val="000000" w:themeColor="text1"/>
          <w:sz w:val="24"/>
          <w:szCs w:val="24"/>
          <w14:textFill>
            <w14:solidFill>
              <w14:schemeClr w14:val="tx1"/>
            </w14:solidFill>
          </w14:textFill>
        </w:rPr>
        <w:t>，否则视为乙方违约，应向甲方支付合同总价款15%的违约金，且甲方有权单方解除合同，已收取</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承包款</w:t>
      </w:r>
      <w:r>
        <w:rPr>
          <w:rFonts w:hint="eastAsia" w:ascii="仿宋_GB2312" w:hAnsi="仿宋_GB2312" w:eastAsia="仿宋_GB2312" w:cs="仿宋_GB2312"/>
          <w:color w:val="000000" w:themeColor="text1"/>
          <w:sz w:val="24"/>
          <w:szCs w:val="24"/>
          <w14:textFill>
            <w14:solidFill>
              <w14:schemeClr w14:val="tx1"/>
            </w14:solidFill>
          </w14:textFill>
        </w:rPr>
        <w:t>不予退还。</w:t>
      </w:r>
    </w:p>
    <w:p w14:paraId="1F70404F">
      <w:pPr>
        <w:keepNext w:val="0"/>
        <w:keepLines w:val="0"/>
        <w:pageBreakBefore w:val="0"/>
        <w:widowControl w:val="0"/>
        <w:numPr>
          <w:ilvl w:val="0"/>
          <w:numId w:val="3"/>
        </w:numPr>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租赁期间，任何一方无正当理由单方面解除合同的，视为违约行为，违约方应赔偿因此给守约方造成的直接损失。如乙方因特殊原因或正当理由提前解除合同的，已缴纳的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承包款</w:t>
      </w:r>
      <w:r>
        <w:rPr>
          <w:rFonts w:hint="eastAsia" w:ascii="仿宋_GB2312" w:hAnsi="仿宋_GB2312" w:eastAsia="仿宋_GB2312" w:cs="仿宋_GB2312"/>
          <w:color w:val="000000" w:themeColor="text1"/>
          <w:sz w:val="24"/>
          <w:szCs w:val="24"/>
          <w14:textFill>
            <w14:solidFill>
              <w14:schemeClr w14:val="tx1"/>
            </w14:solidFill>
          </w14:textFill>
        </w:rPr>
        <w:t>按乙方已</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w:t>
      </w:r>
      <w:r>
        <w:rPr>
          <w:rFonts w:hint="eastAsia" w:ascii="仿宋_GB2312" w:hAnsi="仿宋_GB2312" w:eastAsia="仿宋_GB2312" w:cs="仿宋_GB2312"/>
          <w:color w:val="000000" w:themeColor="text1"/>
          <w:sz w:val="24"/>
          <w:szCs w:val="24"/>
          <w14:textFill>
            <w14:solidFill>
              <w14:schemeClr w14:val="tx1"/>
            </w14:solidFill>
          </w14:textFill>
        </w:rPr>
        <w:t>的日期（以整月计算，不足一个月按整月计）扣除，并且扣除履约保证金。</w:t>
      </w:r>
    </w:p>
    <w:p w14:paraId="17468381">
      <w:pPr>
        <w:keepNext w:val="0"/>
        <w:keepLines w:val="0"/>
        <w:pageBreakBefore w:val="0"/>
        <w:widowControl w:val="0"/>
        <w:numPr>
          <w:ilvl w:val="0"/>
          <w:numId w:val="3"/>
        </w:numPr>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因乙方违约而导致甲方解除合同的，已缴纳的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4"/>
          <w:szCs w:val="24"/>
          <w14:textFill>
            <w14:solidFill>
              <w14:schemeClr w14:val="tx1"/>
            </w14:solidFill>
          </w14:textFill>
        </w:rPr>
        <w:t>不予退还。</w:t>
      </w:r>
    </w:p>
    <w:p w14:paraId="43470CD5">
      <w:pPr>
        <w:keepNext w:val="0"/>
        <w:keepLines w:val="0"/>
        <w:pageBreakBefore w:val="0"/>
        <w:widowControl w:val="0"/>
        <w:numPr>
          <w:ilvl w:val="0"/>
          <w:numId w:val="3"/>
        </w:numPr>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乙方在使用场地过程中违反本合同约定或甲方管理规定的，甲方有权解除合同，同时乙方应全额赔偿因此给甲方造成的损失。</w:t>
      </w:r>
    </w:p>
    <w:p w14:paraId="4C4CC449">
      <w:pPr>
        <w:keepNext w:val="0"/>
        <w:keepLines w:val="0"/>
        <w:pageBreakBefore w:val="0"/>
        <w:widowControl w:val="0"/>
        <w:numPr>
          <w:ilvl w:val="0"/>
          <w:numId w:val="3"/>
        </w:numPr>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乙方在经营期间因自身行为给甲方造成负面声誉影响的，包括但不限于网络负面报道等舆情、上级各部门各种形式的批评、通报、市长热线等，视为乙方违约，乙方应向甲方支付每次500元的违约金。</w:t>
      </w:r>
    </w:p>
    <w:p w14:paraId="5B60F957">
      <w:pPr>
        <w:pStyle w:val="2"/>
        <w:keepNext w:val="0"/>
        <w:keepLines w:val="0"/>
        <w:pageBreakBefore w:val="0"/>
        <w:widowControl w:val="0"/>
        <w:kinsoku/>
        <w:wordWrap/>
        <w:overflowPunct/>
        <w:topLinePunct w:val="0"/>
        <w:autoSpaceDE/>
        <w:autoSpaceDN/>
        <w:bidi w:val="0"/>
        <w:adjustRightInd/>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7、合同终止后，乙方应在合同终止之日起7日内将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w:t>
      </w:r>
      <w:r>
        <w:rPr>
          <w:rFonts w:hint="eastAsia" w:ascii="仿宋_GB2312" w:hAnsi="仿宋_GB2312" w:eastAsia="仿宋_GB2312" w:cs="仿宋_GB2312"/>
          <w:color w:val="000000" w:themeColor="text1"/>
          <w:sz w:val="24"/>
          <w:szCs w:val="24"/>
          <w14:textFill>
            <w14:solidFill>
              <w14:schemeClr w14:val="tx1"/>
            </w14:solidFill>
          </w14:textFill>
        </w:rPr>
        <w:t>场地恢复原貌或按甲方要求进行交接。如需乙方及时清理撤除归属自己的设施及物品的，乙方应予清理撤除，未在甲方要求的时间内进行清理撤除的，视为乙方放弃其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承包场地</w:t>
      </w:r>
      <w:r>
        <w:rPr>
          <w:rFonts w:hint="eastAsia" w:ascii="仿宋_GB2312" w:hAnsi="仿宋_GB2312" w:eastAsia="仿宋_GB2312" w:cs="仿宋_GB2312"/>
          <w:color w:val="000000" w:themeColor="text1"/>
          <w:sz w:val="24"/>
          <w:szCs w:val="24"/>
          <w14:textFill>
            <w14:solidFill>
              <w14:schemeClr w14:val="tx1"/>
            </w14:solidFill>
          </w14:textFill>
        </w:rPr>
        <w:t>内的物品和设备，甲方有权自行处置，由此产生的费用甲方有权向乙方追偿，且乙方应按合同总金额每日万分之五向甲方支付违约金。</w:t>
      </w:r>
    </w:p>
    <w:p w14:paraId="2E446A4D">
      <w:pPr>
        <w:pStyle w:val="2"/>
        <w:keepNext w:val="0"/>
        <w:keepLines w:val="0"/>
        <w:pageBreakBefore w:val="0"/>
        <w:widowControl w:val="0"/>
        <w:kinsoku/>
        <w:wordWrap/>
        <w:overflowPunct/>
        <w:topLinePunct w:val="0"/>
        <w:autoSpaceDE/>
        <w:autoSpaceDN/>
        <w:bidi w:val="0"/>
        <w:adjustRightInd/>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8、上述违约金甲方有权直接自履约保证金中扣除，不足部分乙方向甲方支付。</w:t>
      </w:r>
    </w:p>
    <w:p w14:paraId="0B589816">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第七条：合同的解除</w:t>
      </w:r>
    </w:p>
    <w:p w14:paraId="6EE2BE7E">
      <w:pPr>
        <w:pStyle w:val="2"/>
        <w:keepNext w:val="0"/>
        <w:keepLines w:val="0"/>
        <w:pageBreakBefore w:val="0"/>
        <w:widowControl w:val="0"/>
        <w:kinsoku/>
        <w:wordWrap/>
        <w:overflowPunct/>
        <w:topLinePunct w:val="0"/>
        <w:autoSpaceDE/>
        <w:autoSpaceDN/>
        <w:bidi w:val="0"/>
        <w:adjustRightInd/>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经双方协商一致，可以解除本合同。</w:t>
      </w:r>
    </w:p>
    <w:p w14:paraId="788AA9B7">
      <w:pPr>
        <w:pStyle w:val="2"/>
        <w:keepNext w:val="0"/>
        <w:keepLines w:val="0"/>
        <w:pageBreakBefore w:val="0"/>
        <w:widowControl w:val="0"/>
        <w:kinsoku/>
        <w:wordWrap/>
        <w:overflowPunct/>
        <w:topLinePunct w:val="0"/>
        <w:autoSpaceDE/>
        <w:autoSpaceDN/>
        <w:bidi w:val="0"/>
        <w:adjustRightInd/>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1、乙方有下列情形之一的，甲方有权单方解除合同，收回该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w:t>
      </w:r>
      <w:r>
        <w:rPr>
          <w:rFonts w:hint="eastAsia" w:ascii="仿宋_GB2312" w:hAnsi="仿宋_GB2312" w:eastAsia="仿宋_GB2312" w:cs="仿宋_GB2312"/>
          <w:color w:val="000000" w:themeColor="text1"/>
          <w:sz w:val="24"/>
          <w:szCs w:val="24"/>
          <w14:textFill>
            <w14:solidFill>
              <w14:schemeClr w14:val="tx1"/>
            </w14:solidFill>
          </w14:textFill>
        </w:rPr>
        <w:t>：</w:t>
      </w:r>
    </w:p>
    <w:p w14:paraId="4BD70F5F">
      <w:pPr>
        <w:pStyle w:val="2"/>
        <w:keepNext w:val="0"/>
        <w:keepLines w:val="0"/>
        <w:pageBreakBefore w:val="0"/>
        <w:widowControl w:val="0"/>
        <w:kinsoku/>
        <w:wordWrap/>
        <w:overflowPunct/>
        <w:topLinePunct w:val="0"/>
        <w:autoSpaceDE/>
        <w:autoSpaceDN/>
        <w:bidi w:val="0"/>
        <w:adjustRightInd/>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①不支付或者不按照约定支付</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承包款</w:t>
      </w:r>
      <w:r>
        <w:rPr>
          <w:rFonts w:hint="eastAsia" w:ascii="仿宋_GB2312" w:hAnsi="仿宋_GB2312" w:eastAsia="仿宋_GB2312" w:cs="仿宋_GB2312"/>
          <w:color w:val="000000" w:themeColor="text1"/>
          <w:sz w:val="24"/>
          <w:szCs w:val="24"/>
          <w14:textFill>
            <w14:solidFill>
              <w14:schemeClr w14:val="tx1"/>
            </w14:solidFill>
          </w14:textFill>
        </w:rPr>
        <w:t>、履约保证金逾期超过30日的；</w:t>
      </w:r>
    </w:p>
    <w:p w14:paraId="2475AFC3">
      <w:pPr>
        <w:pStyle w:val="2"/>
        <w:keepNext w:val="0"/>
        <w:keepLines w:val="0"/>
        <w:pageBreakBefore w:val="0"/>
        <w:widowControl w:val="0"/>
        <w:kinsoku/>
        <w:wordWrap/>
        <w:overflowPunct/>
        <w:topLinePunct w:val="0"/>
        <w:autoSpaceDE/>
        <w:autoSpaceDN/>
        <w:bidi w:val="0"/>
        <w:adjustRightInd/>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②擅自</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经营权场地</w:t>
      </w:r>
      <w:r>
        <w:rPr>
          <w:rFonts w:hint="eastAsia" w:ascii="仿宋_GB2312" w:hAnsi="仿宋_GB2312" w:eastAsia="仿宋_GB2312" w:cs="仿宋_GB2312"/>
          <w:color w:val="000000" w:themeColor="text1"/>
          <w:sz w:val="24"/>
          <w:szCs w:val="24"/>
          <w14:textFill>
            <w14:solidFill>
              <w14:schemeClr w14:val="tx1"/>
            </w14:solidFill>
          </w14:textFill>
        </w:rPr>
        <w:t>经营用途的；</w:t>
      </w:r>
    </w:p>
    <w:p w14:paraId="65CA40B8">
      <w:pPr>
        <w:pStyle w:val="2"/>
        <w:keepNext w:val="0"/>
        <w:keepLines w:val="0"/>
        <w:pageBreakBefore w:val="0"/>
        <w:widowControl w:val="0"/>
        <w:kinsoku/>
        <w:wordWrap/>
        <w:overflowPunct/>
        <w:topLinePunct w:val="0"/>
        <w:autoSpaceDE/>
        <w:autoSpaceDN/>
        <w:bidi w:val="0"/>
        <w:adjustRightInd/>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③擅自拆改变动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或损坏场地或</w:t>
      </w:r>
      <w:r>
        <w:rPr>
          <w:rFonts w:hint="eastAsia" w:ascii="仿宋_GB2312" w:hAnsi="仿宋_GB2312" w:eastAsia="仿宋_GB2312" w:cs="仿宋_GB2312"/>
          <w:color w:val="000000" w:themeColor="text1"/>
          <w:sz w:val="24"/>
          <w:szCs w:val="24"/>
          <w14:textFill>
            <w14:solidFill>
              <w14:schemeClr w14:val="tx1"/>
            </w14:solidFill>
          </w14:textFill>
        </w:rPr>
        <w:t>周边绿地及配套设施的；</w:t>
      </w:r>
    </w:p>
    <w:p w14:paraId="0AECD25E">
      <w:pPr>
        <w:pStyle w:val="2"/>
        <w:keepNext w:val="0"/>
        <w:keepLines w:val="0"/>
        <w:pageBreakBefore w:val="0"/>
        <w:widowControl w:val="0"/>
        <w:kinsoku/>
        <w:wordWrap/>
        <w:overflowPunct/>
        <w:topLinePunct w:val="0"/>
        <w:autoSpaceDE/>
        <w:autoSpaceDN/>
        <w:bidi w:val="0"/>
        <w:adjustRightInd/>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④擅自转第三方经营的；</w:t>
      </w:r>
    </w:p>
    <w:p w14:paraId="5AD66701">
      <w:pPr>
        <w:pStyle w:val="2"/>
        <w:keepNext w:val="0"/>
        <w:keepLines w:val="0"/>
        <w:pageBreakBefore w:val="0"/>
        <w:widowControl w:val="0"/>
        <w:kinsoku/>
        <w:wordWrap/>
        <w:overflowPunct/>
        <w:topLinePunct w:val="0"/>
        <w:autoSpaceDE/>
        <w:autoSpaceDN/>
        <w:bidi w:val="0"/>
        <w:adjustRightInd/>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⑤利用该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w:t>
      </w:r>
      <w:r>
        <w:rPr>
          <w:rFonts w:hint="eastAsia" w:ascii="仿宋_GB2312" w:hAnsi="仿宋_GB2312" w:eastAsia="仿宋_GB2312" w:cs="仿宋_GB2312"/>
          <w:color w:val="000000" w:themeColor="text1"/>
          <w:sz w:val="24"/>
          <w:szCs w:val="24"/>
          <w14:textFill>
            <w14:solidFill>
              <w14:schemeClr w14:val="tx1"/>
            </w14:solidFill>
          </w14:textFill>
        </w:rPr>
        <w:t>从事违法活动的。</w:t>
      </w:r>
    </w:p>
    <w:p w14:paraId="49BA39A9">
      <w:pPr>
        <w:pStyle w:val="2"/>
        <w:keepNext w:val="0"/>
        <w:keepLines w:val="0"/>
        <w:pageBreakBefore w:val="0"/>
        <w:widowControl w:val="0"/>
        <w:kinsoku/>
        <w:wordWrap/>
        <w:overflowPunct/>
        <w:topLinePunct w:val="0"/>
        <w:autoSpaceDE/>
        <w:autoSpaceDN/>
        <w:bidi w:val="0"/>
        <w:adjustRightInd/>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2、甲方有下列情形之一的，乙方有权单方解除合同：</w:t>
      </w:r>
    </w:p>
    <w:p w14:paraId="12D2ACD2">
      <w:pPr>
        <w:pStyle w:val="2"/>
        <w:keepNext w:val="0"/>
        <w:keepLines w:val="0"/>
        <w:pageBreakBefore w:val="0"/>
        <w:widowControl w:val="0"/>
        <w:kinsoku/>
        <w:wordWrap/>
        <w:overflowPunct/>
        <w:topLinePunct w:val="0"/>
        <w:autoSpaceDE/>
        <w:autoSpaceDN/>
        <w:bidi w:val="0"/>
        <w:adjustRightInd/>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①未按约定时间交付该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经营权运营场地</w:t>
      </w:r>
      <w:r>
        <w:rPr>
          <w:rFonts w:hint="eastAsia" w:ascii="仿宋_GB2312" w:hAnsi="仿宋_GB2312" w:eastAsia="仿宋_GB2312" w:cs="仿宋_GB2312"/>
          <w:color w:val="000000" w:themeColor="text1"/>
          <w:sz w:val="24"/>
          <w:szCs w:val="24"/>
          <w14:textFill>
            <w14:solidFill>
              <w14:schemeClr w14:val="tx1"/>
            </w14:solidFill>
          </w14:textFill>
        </w:rPr>
        <w:t>达30日的；</w:t>
      </w:r>
    </w:p>
    <w:p w14:paraId="48E80061">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第八条：不可抗力因素</w:t>
      </w:r>
    </w:p>
    <w:p w14:paraId="5E0403A8">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合同履行期间因不可抗力（含各级政府和行业部门的行为及政策变化）导致合同不能履行或不能完全履行的，合同各方均不承担违约责任。</w:t>
      </w:r>
    </w:p>
    <w:p w14:paraId="7FA7FA3B">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第九条：争议解决方式</w:t>
      </w:r>
    </w:p>
    <w:p w14:paraId="59EC4DB5">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双方因本合同的履行或与本合同有关的其他事项而发生的争议，应由双方友好协商解决。如协商不成或不愿协商，则任何一方有权将争议提交甲方所在地人民法院解决。</w:t>
      </w:r>
    </w:p>
    <w:p w14:paraId="17B701DF">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第十条：附则</w:t>
      </w:r>
    </w:p>
    <w:p w14:paraId="1AF87368">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1、本合同自双方法定代表人或授权代表签字或盖章并加盖公章之日起生效。本合同一式</w:t>
      </w:r>
      <w:r>
        <w:rPr>
          <w:rFonts w:hint="eastAsia" w:ascii="仿宋_GB2312" w:hAnsi="仿宋_GB2312" w:eastAsia="仿宋_GB2312" w:cs="仿宋_GB2312"/>
          <w:sz w:val="24"/>
          <w:szCs w:val="24"/>
          <w:u w:val="single"/>
        </w:rPr>
        <w:t>捌</w:t>
      </w:r>
      <w:r>
        <w:rPr>
          <w:rFonts w:hint="eastAsia" w:ascii="仿宋_GB2312" w:hAnsi="仿宋_GB2312" w:eastAsia="仿宋_GB2312" w:cs="仿宋_GB2312"/>
          <w:sz w:val="24"/>
          <w:szCs w:val="24"/>
        </w:rPr>
        <w:t>份，甲方执</w:t>
      </w:r>
      <w:r>
        <w:rPr>
          <w:rFonts w:hint="eastAsia" w:ascii="仿宋_GB2312" w:hAnsi="仿宋_GB2312" w:eastAsia="仿宋_GB2312" w:cs="仿宋_GB2312"/>
          <w:sz w:val="24"/>
          <w:szCs w:val="24"/>
          <w:u w:val="single"/>
        </w:rPr>
        <w:t>柒</w:t>
      </w:r>
      <w:r>
        <w:rPr>
          <w:rFonts w:hint="eastAsia" w:ascii="仿宋_GB2312" w:hAnsi="仿宋_GB2312" w:eastAsia="仿宋_GB2312" w:cs="仿宋_GB2312"/>
          <w:sz w:val="24"/>
          <w:szCs w:val="24"/>
        </w:rPr>
        <w:t>份，乙方执</w:t>
      </w:r>
      <w:r>
        <w:rPr>
          <w:rFonts w:hint="eastAsia" w:ascii="仿宋_GB2312" w:hAnsi="仿宋_GB2312" w:eastAsia="仿宋_GB2312" w:cs="仿宋_GB2312"/>
          <w:sz w:val="24"/>
          <w:szCs w:val="24"/>
          <w:u w:val="single"/>
        </w:rPr>
        <w:t>壹</w:t>
      </w:r>
      <w:r>
        <w:rPr>
          <w:rFonts w:hint="eastAsia" w:ascii="仿宋_GB2312" w:hAnsi="仿宋_GB2312" w:eastAsia="仿宋_GB2312" w:cs="仿宋_GB2312"/>
          <w:sz w:val="24"/>
          <w:szCs w:val="24"/>
        </w:rPr>
        <w:t>份，具有同等的法律效力。</w:t>
      </w:r>
    </w:p>
    <w:p w14:paraId="2DA7223B">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2、双方对合同内容的变更或补充应采用书面形式，并由双方签字盖章作为合同附件，附件与本合同具有同等的法律效力。</w:t>
      </w:r>
    </w:p>
    <w:p w14:paraId="063F15B9">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（以下无正文）</w:t>
      </w:r>
    </w:p>
    <w:p w14:paraId="34FF7FF5">
      <w:pPr>
        <w:keepNext w:val="0"/>
        <w:keepLines w:val="0"/>
        <w:pageBreakBefore w:val="0"/>
        <w:widowControl w:val="0"/>
        <w:kinsoku/>
        <w:wordWrap/>
        <w:overflowPunct/>
        <w:topLinePunct w:val="0"/>
        <w:autoSpaceDE/>
        <w:autoSpaceDN/>
        <w:bidi w:val="0"/>
        <w:adjustRightInd/>
        <w:spacing w:line="4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    （盖章）             乙方：     （盖章</w:t>
      </w:r>
      <w:r>
        <w:rPr>
          <w:rFonts w:hint="eastAsia" w:ascii="仿宋_GB2312" w:hAnsi="仿宋_GB2312" w:eastAsia="仿宋_GB2312" w:cs="仿宋_GB2312"/>
          <w:sz w:val="24"/>
          <w:szCs w:val="24"/>
          <w:lang w:val="en-US" w:eastAsia="zh-CN"/>
        </w:rPr>
        <w:t>或签字</w:t>
      </w:r>
      <w:r>
        <w:rPr>
          <w:rFonts w:hint="eastAsia" w:ascii="仿宋_GB2312" w:hAnsi="仿宋_GB2312" w:eastAsia="仿宋_GB2312" w:cs="仿宋_GB2312"/>
          <w:sz w:val="24"/>
          <w:szCs w:val="24"/>
        </w:rPr>
        <w:t>）</w:t>
      </w:r>
    </w:p>
    <w:p w14:paraId="001EEF35">
      <w:pPr>
        <w:keepNext w:val="0"/>
        <w:keepLines w:val="0"/>
        <w:pageBreakBefore w:val="0"/>
        <w:widowControl w:val="0"/>
        <w:kinsoku/>
        <w:wordWrap/>
        <w:overflowPunct/>
        <w:topLinePunct w:val="0"/>
        <w:autoSpaceDE/>
        <w:autoSpaceDN/>
        <w:bidi w:val="0"/>
        <w:adjustRightInd/>
        <w:spacing w:line="4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法定代表人或                   法定代表人或 </w:t>
      </w:r>
    </w:p>
    <w:p w14:paraId="5F181FF9">
      <w:pPr>
        <w:keepNext w:val="0"/>
        <w:keepLines w:val="0"/>
        <w:pageBreakBefore w:val="0"/>
        <w:widowControl w:val="0"/>
        <w:kinsoku/>
        <w:wordWrap/>
        <w:overflowPunct/>
        <w:topLinePunct w:val="0"/>
        <w:autoSpaceDE/>
        <w:autoSpaceDN/>
        <w:bidi w:val="0"/>
        <w:adjustRightInd/>
        <w:spacing w:line="4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委托代理人：（签字）             委托代理人：（签字）</w:t>
      </w:r>
    </w:p>
    <w:p w14:paraId="439F64D3">
      <w:pPr>
        <w:pStyle w:val="8"/>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726BCAA1">
      <w:pPr>
        <w:keepNext w:val="0"/>
        <w:keepLines w:val="0"/>
        <w:pageBreakBefore w:val="0"/>
        <w:widowControl w:val="0"/>
        <w:kinsoku/>
        <w:wordWrap/>
        <w:overflowPunct/>
        <w:topLinePunct w:val="0"/>
        <w:bidi w:val="0"/>
        <w:spacing w:line="420" w:lineRule="exact"/>
        <w:ind w:firstLine="3360" w:firstLineChars="14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签订日期：    年   月 </w:t>
      </w:r>
      <w:r>
        <w:rPr>
          <w:rFonts w:hint="eastAsia" w:ascii="仿宋_GB2312" w:hAnsi="仿宋_GB2312" w:eastAsia="仿宋_GB2312" w:cs="仿宋_GB2312"/>
          <w:sz w:val="24"/>
          <w:szCs w:val="24"/>
          <w:lang w:val="en-US" w:eastAsia="zh-CN"/>
        </w:rPr>
        <w:t xml:space="preserve"> 日</w:t>
      </w:r>
    </w:p>
    <w:p w14:paraId="5DC3C8BD">
      <w:pPr>
        <w:keepNext w:val="0"/>
        <w:keepLines w:val="0"/>
        <w:pageBreakBefore w:val="0"/>
        <w:widowControl w:val="0"/>
        <w:kinsoku/>
        <w:wordWrap/>
        <w:overflowPunct/>
        <w:topLinePunct w:val="0"/>
        <w:bidi w:val="0"/>
        <w:spacing w:line="420" w:lineRule="exact"/>
        <w:ind w:firstLine="3360" w:firstLineChars="1400"/>
        <w:jc w:val="left"/>
        <w:textAlignment w:val="auto"/>
        <w:rPr>
          <w:rFonts w:hint="eastAsia" w:ascii="仿宋_GB2312" w:hAnsi="仿宋_GB2312" w:eastAsia="仿宋_GB2312" w:cs="仿宋_GB2312"/>
          <w:sz w:val="24"/>
          <w:szCs w:val="24"/>
          <w:lang w:val="en-US" w:eastAsia="zh-CN"/>
        </w:rPr>
      </w:pPr>
    </w:p>
    <w:p w14:paraId="6A20DA68">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附1：</w:t>
      </w:r>
    </w:p>
    <w:tbl>
      <w:tblPr>
        <w:tblStyle w:val="5"/>
        <w:tblW w:w="4857" w:type="pct"/>
        <w:jc w:val="center"/>
        <w:tblLayout w:type="fixed"/>
        <w:tblCellMar>
          <w:top w:w="0" w:type="dxa"/>
          <w:left w:w="108" w:type="dxa"/>
          <w:bottom w:w="0" w:type="dxa"/>
          <w:right w:w="108" w:type="dxa"/>
        </w:tblCellMar>
      </w:tblPr>
      <w:tblGrid>
        <w:gridCol w:w="692"/>
        <w:gridCol w:w="1659"/>
        <w:gridCol w:w="1219"/>
        <w:gridCol w:w="3668"/>
        <w:gridCol w:w="439"/>
        <w:gridCol w:w="602"/>
      </w:tblGrid>
      <w:tr w14:paraId="768688C5">
        <w:tblPrEx>
          <w:tblCellMar>
            <w:top w:w="0" w:type="dxa"/>
            <w:left w:w="108" w:type="dxa"/>
            <w:bottom w:w="0" w:type="dxa"/>
            <w:right w:w="108" w:type="dxa"/>
          </w:tblCellMar>
        </w:tblPrEx>
        <w:trPr>
          <w:trHeight w:val="62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06BA58D">
            <w:pPr>
              <w:widowControl/>
              <w:jc w:val="center"/>
              <w:textAlignment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b/>
                <w:bCs/>
                <w:color w:val="000000"/>
                <w:kern w:val="0"/>
                <w:sz w:val="32"/>
                <w:szCs w:val="32"/>
                <w:lang w:val="en-US" w:eastAsia="zh-CN"/>
              </w:rPr>
              <w:t>银滩卡丁车训练营</w:t>
            </w:r>
          </w:p>
        </w:tc>
      </w:tr>
      <w:tr w14:paraId="3891A92F">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5ED5594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序号</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341512F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    目</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701FF1C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型  号</w:t>
            </w:r>
          </w:p>
        </w:tc>
        <w:tc>
          <w:tcPr>
            <w:tcW w:w="2215" w:type="pct"/>
            <w:tcBorders>
              <w:top w:val="single" w:color="000000" w:sz="4" w:space="0"/>
              <w:left w:val="single" w:color="000000" w:sz="4" w:space="0"/>
              <w:bottom w:val="single" w:color="000000" w:sz="4" w:space="0"/>
              <w:right w:val="single" w:color="000000" w:sz="4" w:space="0"/>
            </w:tcBorders>
            <w:vAlign w:val="center"/>
          </w:tcPr>
          <w:p w14:paraId="4D900D8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参  数</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57B31BD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单位</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10A00DB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数量</w:t>
            </w:r>
          </w:p>
        </w:tc>
      </w:tr>
      <w:tr w14:paraId="4611C433">
        <w:tblPrEx>
          <w:tblCellMar>
            <w:top w:w="0" w:type="dxa"/>
            <w:left w:w="108" w:type="dxa"/>
            <w:bottom w:w="0" w:type="dxa"/>
            <w:right w:w="108" w:type="dxa"/>
          </w:tblCellMar>
        </w:tblPrEx>
        <w:trPr>
          <w:trHeight w:val="436"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3EC6F7E">
            <w:pPr>
              <w:widowControl/>
              <w:jc w:val="center"/>
              <w:textAlignment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监控类</w:t>
            </w:r>
          </w:p>
        </w:tc>
      </w:tr>
      <w:tr w14:paraId="2B738329">
        <w:tblPrEx>
          <w:tblCellMar>
            <w:top w:w="0" w:type="dxa"/>
            <w:left w:w="108" w:type="dxa"/>
            <w:bottom w:w="0" w:type="dxa"/>
            <w:right w:w="108" w:type="dxa"/>
          </w:tblCellMar>
        </w:tblPrEx>
        <w:trPr>
          <w:trHeight w:val="403"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4A006A2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51A3DCF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监控显示设备</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3C3E6D4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创维43寸</w:t>
            </w:r>
          </w:p>
        </w:tc>
        <w:tc>
          <w:tcPr>
            <w:tcW w:w="2215" w:type="pct"/>
            <w:tcBorders>
              <w:top w:val="single" w:color="000000" w:sz="4" w:space="0"/>
              <w:left w:val="single" w:color="000000" w:sz="4" w:space="0"/>
              <w:bottom w:val="single" w:color="000000" w:sz="4" w:space="0"/>
              <w:right w:val="single" w:color="000000" w:sz="4" w:space="0"/>
            </w:tcBorders>
            <w:vAlign w:val="center"/>
          </w:tcPr>
          <w:p w14:paraId="76C23096">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460D62D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1667429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7925F7E5">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2F021AB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44937CA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硬盘录像机</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39C9BB7A">
            <w:pPr>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Cs w:val="21"/>
              </w:rPr>
              <w:t>TPlink 6832E-T</w:t>
            </w:r>
          </w:p>
        </w:tc>
        <w:tc>
          <w:tcPr>
            <w:tcW w:w="2215" w:type="pct"/>
            <w:tcBorders>
              <w:top w:val="single" w:color="000000" w:sz="4" w:space="0"/>
              <w:left w:val="single" w:color="000000" w:sz="4" w:space="0"/>
              <w:bottom w:val="single" w:color="000000" w:sz="4" w:space="0"/>
              <w:right w:val="single" w:color="000000" w:sz="4" w:space="0"/>
            </w:tcBorders>
            <w:vAlign w:val="center"/>
          </w:tcPr>
          <w:p w14:paraId="6129D88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32路8盘位</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5AA88D3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7A7B15E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2A8F6511">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736EB11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3D731679">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监控硬盘</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5E79CC83">
            <w:pPr>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希捷8T 监控盘</w:t>
            </w:r>
          </w:p>
        </w:tc>
        <w:tc>
          <w:tcPr>
            <w:tcW w:w="2215" w:type="pct"/>
            <w:tcBorders>
              <w:top w:val="single" w:color="000000" w:sz="4" w:space="0"/>
              <w:left w:val="single" w:color="000000" w:sz="4" w:space="0"/>
              <w:bottom w:val="single" w:color="000000" w:sz="4" w:space="0"/>
              <w:right w:val="single" w:color="000000" w:sz="4" w:space="0"/>
            </w:tcBorders>
            <w:vAlign w:val="center"/>
          </w:tcPr>
          <w:p w14:paraId="1AC46F0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单块硬盘8T</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225047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个</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3BD74C8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w:t>
            </w:r>
          </w:p>
        </w:tc>
      </w:tr>
      <w:tr w14:paraId="329EECBF">
        <w:tblPrEx>
          <w:tblCellMar>
            <w:top w:w="0" w:type="dxa"/>
            <w:left w:w="108" w:type="dxa"/>
            <w:bottom w:w="0" w:type="dxa"/>
            <w:right w:w="108" w:type="dxa"/>
          </w:tblCellMar>
        </w:tblPrEx>
        <w:trPr>
          <w:trHeight w:val="376"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4EF0DDC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0260F29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摄像头</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7F78210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 w:val="18"/>
                <w:szCs w:val="18"/>
              </w:rPr>
              <w:t>MERCURY 332PW</w:t>
            </w:r>
          </w:p>
        </w:tc>
        <w:tc>
          <w:tcPr>
            <w:tcW w:w="2215" w:type="pct"/>
            <w:tcBorders>
              <w:top w:val="single" w:color="000000" w:sz="4" w:space="0"/>
              <w:left w:val="single" w:color="000000" w:sz="4" w:space="0"/>
              <w:bottom w:val="single" w:color="000000" w:sz="4" w:space="0"/>
              <w:right w:val="single" w:color="000000" w:sz="4" w:space="0"/>
            </w:tcBorders>
            <w:vAlign w:val="center"/>
          </w:tcPr>
          <w:p w14:paraId="6F11154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300万POE摄像头</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D6B663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75B088A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26</w:t>
            </w:r>
          </w:p>
        </w:tc>
      </w:tr>
      <w:tr w14:paraId="346461DC">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5282427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c>
          <w:tcPr>
            <w:tcW w:w="1001" w:type="pct"/>
            <w:vMerge w:val="restart"/>
            <w:tcBorders>
              <w:top w:val="single" w:color="000000" w:sz="4" w:space="0"/>
              <w:left w:val="single" w:color="000000" w:sz="4" w:space="0"/>
              <w:bottom w:val="single" w:color="000000" w:sz="4" w:space="0"/>
              <w:right w:val="single" w:color="000000" w:sz="4" w:space="0"/>
            </w:tcBorders>
            <w:noWrap/>
            <w:vAlign w:val="center"/>
          </w:tcPr>
          <w:p w14:paraId="44A5091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交换机</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16119A1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 w:val="18"/>
                <w:szCs w:val="18"/>
              </w:rPr>
              <w:t>MERCURY</w:t>
            </w:r>
            <w:r>
              <w:rPr>
                <w:rFonts w:hint="eastAsia" w:ascii="仿宋_GB2312" w:hAnsi="仿宋_GB2312" w:eastAsia="仿宋_GB2312" w:cs="仿宋_GB2312"/>
                <w:color w:val="000000"/>
                <w:kern w:val="0"/>
                <w:szCs w:val="21"/>
              </w:rPr>
              <w:t xml:space="preserve"> FCS1508M</w:t>
            </w:r>
          </w:p>
        </w:tc>
        <w:tc>
          <w:tcPr>
            <w:tcW w:w="2215" w:type="pct"/>
            <w:tcBorders>
              <w:top w:val="single" w:color="000000" w:sz="4" w:space="0"/>
              <w:left w:val="single" w:color="000000" w:sz="4" w:space="0"/>
              <w:bottom w:val="single" w:color="000000" w:sz="4" w:space="0"/>
              <w:right w:val="single" w:color="000000" w:sz="4" w:space="0"/>
            </w:tcBorders>
            <w:vAlign w:val="center"/>
          </w:tcPr>
          <w:p w14:paraId="4A802BE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8口千兆交换机</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3639CF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177A55C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094DCDC5">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5DED348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w:t>
            </w:r>
          </w:p>
        </w:tc>
        <w:tc>
          <w:tcPr>
            <w:tcW w:w="1001" w:type="pct"/>
            <w:vMerge w:val="continue"/>
            <w:tcBorders>
              <w:top w:val="single" w:color="000000" w:sz="4" w:space="0"/>
              <w:left w:val="single" w:color="000000" w:sz="4" w:space="0"/>
              <w:bottom w:val="single" w:color="000000" w:sz="4" w:space="0"/>
              <w:right w:val="single" w:color="000000" w:sz="4" w:space="0"/>
            </w:tcBorders>
            <w:noWrap/>
            <w:vAlign w:val="center"/>
          </w:tcPr>
          <w:p w14:paraId="25E6B8B9">
            <w:pPr>
              <w:jc w:val="center"/>
              <w:rPr>
                <w:rFonts w:hint="eastAsia" w:ascii="仿宋_GB2312" w:hAnsi="仿宋_GB2312" w:eastAsia="仿宋_GB2312" w:cs="仿宋_GB2312"/>
                <w:color w:val="000000"/>
                <w:szCs w:val="21"/>
              </w:rPr>
            </w:pP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2AE5782C">
            <w:pPr>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 w:val="18"/>
                <w:szCs w:val="18"/>
              </w:rPr>
              <w:t>MERCURY</w:t>
            </w:r>
            <w:r>
              <w:rPr>
                <w:rFonts w:hint="eastAsia" w:ascii="仿宋_GB2312" w:hAnsi="仿宋_GB2312" w:eastAsia="仿宋_GB2312" w:cs="仿宋_GB2312"/>
                <w:color w:val="000000"/>
                <w:kern w:val="0"/>
                <w:szCs w:val="21"/>
              </w:rPr>
              <w:t xml:space="preserve"> MS08CP-M</w:t>
            </w:r>
          </w:p>
        </w:tc>
        <w:tc>
          <w:tcPr>
            <w:tcW w:w="2215" w:type="pct"/>
            <w:tcBorders>
              <w:top w:val="single" w:color="000000" w:sz="4" w:space="0"/>
              <w:left w:val="single" w:color="000000" w:sz="4" w:space="0"/>
              <w:bottom w:val="single" w:color="000000" w:sz="4" w:space="0"/>
              <w:right w:val="single" w:color="000000" w:sz="4" w:space="0"/>
            </w:tcBorders>
            <w:vAlign w:val="center"/>
          </w:tcPr>
          <w:p w14:paraId="63DA995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总65W/单口15.4W，8百兆POE口+2千兆上联口</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8122B2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90CF94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4E8C01CF">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58FBCF9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w:t>
            </w:r>
          </w:p>
        </w:tc>
        <w:tc>
          <w:tcPr>
            <w:tcW w:w="1001" w:type="pct"/>
            <w:vMerge w:val="continue"/>
            <w:tcBorders>
              <w:top w:val="single" w:color="000000" w:sz="4" w:space="0"/>
              <w:left w:val="single" w:color="000000" w:sz="4" w:space="0"/>
              <w:bottom w:val="single" w:color="000000" w:sz="4" w:space="0"/>
              <w:right w:val="single" w:color="000000" w:sz="4" w:space="0"/>
            </w:tcBorders>
            <w:noWrap/>
            <w:vAlign w:val="center"/>
          </w:tcPr>
          <w:p w14:paraId="1890F7E4">
            <w:pPr>
              <w:jc w:val="center"/>
              <w:rPr>
                <w:rFonts w:hint="eastAsia" w:ascii="仿宋_GB2312" w:hAnsi="仿宋_GB2312" w:eastAsia="仿宋_GB2312" w:cs="仿宋_GB2312"/>
                <w:color w:val="000000"/>
                <w:szCs w:val="21"/>
              </w:rPr>
            </w:pP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6108C1C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 w:val="18"/>
                <w:szCs w:val="18"/>
              </w:rPr>
              <w:t>MERCURY</w:t>
            </w:r>
            <w:r>
              <w:rPr>
                <w:rFonts w:hint="eastAsia" w:ascii="仿宋_GB2312" w:hAnsi="仿宋_GB2312" w:eastAsia="仿宋_GB2312" w:cs="仿宋_GB2312"/>
                <w:color w:val="000000"/>
                <w:kern w:val="0"/>
                <w:szCs w:val="21"/>
              </w:rPr>
              <w:t xml:space="preserve"> MS05CP-M</w:t>
            </w:r>
          </w:p>
        </w:tc>
        <w:tc>
          <w:tcPr>
            <w:tcW w:w="2215" w:type="pct"/>
            <w:tcBorders>
              <w:top w:val="single" w:color="000000" w:sz="4" w:space="0"/>
              <w:left w:val="single" w:color="000000" w:sz="4" w:space="0"/>
              <w:bottom w:val="single" w:color="000000" w:sz="4" w:space="0"/>
              <w:right w:val="single" w:color="000000" w:sz="4" w:space="0"/>
            </w:tcBorders>
            <w:vAlign w:val="center"/>
          </w:tcPr>
          <w:p w14:paraId="5057CE2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总43W/单口15.4W，4百兆POE口+1百兆上联口</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9EABC8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1608C6A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w:t>
            </w:r>
          </w:p>
        </w:tc>
      </w:tr>
      <w:tr w14:paraId="2B4617AC">
        <w:tblPrEx>
          <w:tblCellMar>
            <w:top w:w="0" w:type="dxa"/>
            <w:left w:w="108" w:type="dxa"/>
            <w:bottom w:w="0" w:type="dxa"/>
            <w:right w:w="108" w:type="dxa"/>
          </w:tblCellMar>
        </w:tblPrEx>
        <w:trPr>
          <w:trHeight w:val="46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493EEF8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187B339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监控立杆</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5C39157B">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5E026CA1">
            <w:pPr>
              <w:widowControl/>
              <w:jc w:val="center"/>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kern w:val="0"/>
                <w:szCs w:val="21"/>
                <w:lang w:val="en-US" w:eastAsia="zh-CN"/>
              </w:rPr>
              <w:t>/</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7B64E1E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7460521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16</w:t>
            </w:r>
          </w:p>
        </w:tc>
      </w:tr>
      <w:tr w14:paraId="421D91CE">
        <w:tblPrEx>
          <w:tblCellMar>
            <w:top w:w="0" w:type="dxa"/>
            <w:left w:w="108" w:type="dxa"/>
            <w:bottom w:w="0" w:type="dxa"/>
            <w:right w:w="108" w:type="dxa"/>
          </w:tblCellMar>
        </w:tblPrEx>
        <w:trPr>
          <w:trHeight w:val="541"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50AC03A7">
            <w:pPr>
              <w:widowControl/>
              <w:jc w:val="center"/>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kern w:val="0"/>
                <w:szCs w:val="21"/>
                <w:lang w:val="en-US" w:eastAsia="zh-CN"/>
              </w:rPr>
              <w:t>9</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1BA8578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机柜</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7551354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01E700E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6U壁挂机柜，550cm*400cm*300cm</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4A08D75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组</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4DE5206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0EB04793">
        <w:tblPrEx>
          <w:tblCellMar>
            <w:top w:w="0" w:type="dxa"/>
            <w:left w:w="108" w:type="dxa"/>
            <w:bottom w:w="0" w:type="dxa"/>
            <w:right w:w="108" w:type="dxa"/>
          </w:tblCellMar>
        </w:tblPrEx>
        <w:trPr>
          <w:trHeight w:val="429"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7CADB35B">
            <w:pPr>
              <w:widowControl/>
              <w:jc w:val="center"/>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kern w:val="0"/>
                <w:szCs w:val="21"/>
              </w:rPr>
              <w:t>1</w:t>
            </w:r>
            <w:r>
              <w:rPr>
                <w:rFonts w:hint="eastAsia" w:ascii="仿宋_GB2312" w:hAnsi="仿宋_GB2312" w:eastAsia="仿宋_GB2312" w:cs="仿宋_GB2312"/>
                <w:color w:val="000000"/>
                <w:kern w:val="0"/>
                <w:szCs w:val="21"/>
                <w:lang w:val="en-US" w:eastAsia="zh-CN"/>
              </w:rPr>
              <w:t>0</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51B6B5F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监控装配箱</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58D62819">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5E867E4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28cm*19mm*9.5</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14829CC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3EDCAC9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18</w:t>
            </w:r>
          </w:p>
        </w:tc>
      </w:tr>
      <w:tr w14:paraId="172DAB89">
        <w:tblPrEx>
          <w:tblCellMar>
            <w:top w:w="0" w:type="dxa"/>
            <w:left w:w="108" w:type="dxa"/>
            <w:bottom w:w="0" w:type="dxa"/>
            <w:right w:w="108" w:type="dxa"/>
          </w:tblCellMar>
        </w:tblPrEx>
        <w:trPr>
          <w:trHeight w:val="429"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40B5E780">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rPr>
              <w:t>1</w:t>
            </w:r>
            <w:r>
              <w:rPr>
                <w:rFonts w:hint="eastAsia" w:ascii="仿宋_GB2312" w:hAnsi="仿宋_GB2312" w:eastAsia="仿宋_GB2312" w:cs="仿宋_GB2312"/>
                <w:color w:val="000000"/>
                <w:kern w:val="0"/>
                <w:szCs w:val="21"/>
                <w:lang w:val="en-US" w:eastAsia="zh-CN"/>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4490708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监控支架</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75C7EA5D">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0681E69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鸭嘴型或万向支架</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F2E7A4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020E290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26</w:t>
            </w:r>
          </w:p>
        </w:tc>
      </w:tr>
      <w:tr w14:paraId="48B1B03E">
        <w:tblPrEx>
          <w:tblCellMar>
            <w:top w:w="0" w:type="dxa"/>
            <w:left w:w="108" w:type="dxa"/>
            <w:bottom w:w="0" w:type="dxa"/>
            <w:right w:w="108" w:type="dxa"/>
          </w:tblCellMar>
        </w:tblPrEx>
        <w:trPr>
          <w:trHeight w:val="582"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20ED94E7">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防撞轮胎</w:t>
            </w:r>
          </w:p>
        </w:tc>
      </w:tr>
      <w:tr w14:paraId="29FB6E5D">
        <w:tblPrEx>
          <w:tblCellMar>
            <w:top w:w="0" w:type="dxa"/>
            <w:left w:w="108" w:type="dxa"/>
            <w:bottom w:w="0" w:type="dxa"/>
            <w:right w:w="108" w:type="dxa"/>
          </w:tblCellMar>
        </w:tblPrEx>
        <w:trPr>
          <w:trHeight w:val="386"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756BFC9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0ABBB5C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汽车轮胎</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2F0233A0">
            <w:pPr>
              <w:jc w:val="center"/>
              <w:rPr>
                <w:rFonts w:hint="eastAsia" w:ascii="仿宋_GB2312" w:hAnsi="仿宋_GB2312" w:eastAsia="仿宋_GB2312" w:cs="仿宋_GB2312"/>
                <w:color w:val="000000"/>
                <w:szCs w:val="21"/>
              </w:rPr>
            </w:pPr>
          </w:p>
        </w:tc>
        <w:tc>
          <w:tcPr>
            <w:tcW w:w="2215" w:type="pct"/>
            <w:tcBorders>
              <w:top w:val="single" w:color="000000" w:sz="4" w:space="0"/>
              <w:left w:val="single" w:color="000000" w:sz="4" w:space="0"/>
              <w:bottom w:val="single" w:color="000000" w:sz="4" w:space="0"/>
              <w:right w:val="single" w:color="000000" w:sz="4" w:space="0"/>
            </w:tcBorders>
            <w:vAlign w:val="center"/>
          </w:tcPr>
          <w:p w14:paraId="22D033A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1.废旧汽车轮胎</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B53848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条</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3E94F35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r>
              <w:rPr>
                <w:rFonts w:hint="eastAsia" w:ascii="仿宋_GB2312" w:hAnsi="仿宋_GB2312" w:eastAsia="仿宋_GB2312" w:cs="仿宋_GB2312"/>
                <w:color w:val="000000"/>
                <w:kern w:val="0"/>
                <w:szCs w:val="21"/>
                <w:lang w:val="en-US" w:eastAsia="zh-CN"/>
              </w:rPr>
              <w:t>2</w:t>
            </w:r>
            <w:r>
              <w:rPr>
                <w:rFonts w:hint="eastAsia" w:ascii="仿宋_GB2312" w:hAnsi="仿宋_GB2312" w:eastAsia="仿宋_GB2312" w:cs="仿宋_GB2312"/>
                <w:color w:val="000000"/>
                <w:kern w:val="0"/>
                <w:szCs w:val="21"/>
              </w:rPr>
              <w:t>00</w:t>
            </w:r>
          </w:p>
        </w:tc>
      </w:tr>
      <w:tr w14:paraId="0140B158">
        <w:tblPrEx>
          <w:tblCellMar>
            <w:top w:w="0" w:type="dxa"/>
            <w:left w:w="108" w:type="dxa"/>
            <w:bottom w:w="0" w:type="dxa"/>
            <w:right w:w="108" w:type="dxa"/>
          </w:tblCellMar>
        </w:tblPrEx>
        <w:trPr>
          <w:trHeight w:val="463" w:hRule="atLeast"/>
          <w:jc w:val="center"/>
        </w:trPr>
        <w:tc>
          <w:tcPr>
            <w:tcW w:w="5000" w:type="pct"/>
            <w:gridSpan w:val="6"/>
            <w:tcBorders>
              <w:top w:val="single" w:color="auto" w:sz="4" w:space="0"/>
              <w:left w:val="single" w:color="000000" w:sz="4" w:space="0"/>
              <w:bottom w:val="single" w:color="000000" w:sz="4" w:space="0"/>
              <w:right w:val="single" w:color="000000" w:sz="4" w:space="0"/>
            </w:tcBorders>
            <w:noWrap/>
            <w:vAlign w:val="center"/>
          </w:tcPr>
          <w:p w14:paraId="6755E139">
            <w:pPr>
              <w:widowControl/>
              <w:jc w:val="center"/>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kern w:val="0"/>
                <w:szCs w:val="21"/>
                <w:lang w:val="en-US" w:eastAsia="zh-CN"/>
              </w:rPr>
              <w:t>空调</w:t>
            </w:r>
          </w:p>
        </w:tc>
      </w:tr>
      <w:tr w14:paraId="7AAE2218">
        <w:tblPrEx>
          <w:tblCellMar>
            <w:top w:w="0" w:type="dxa"/>
            <w:left w:w="108" w:type="dxa"/>
            <w:bottom w:w="0" w:type="dxa"/>
            <w:right w:w="108" w:type="dxa"/>
          </w:tblCellMar>
        </w:tblPrEx>
        <w:trPr>
          <w:trHeight w:val="123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67DC6EA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7767EC3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柜机空调</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699BF81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KFR-72LW/W12-1一级能耗（美的）</w:t>
            </w:r>
          </w:p>
        </w:tc>
        <w:tc>
          <w:tcPr>
            <w:tcW w:w="2215" w:type="pct"/>
            <w:tcBorders>
              <w:top w:val="single" w:color="000000" w:sz="4" w:space="0"/>
              <w:left w:val="single" w:color="000000" w:sz="4" w:space="0"/>
              <w:bottom w:val="single" w:color="000000" w:sz="4" w:space="0"/>
              <w:right w:val="single" w:color="000000" w:sz="4" w:space="0"/>
            </w:tcBorders>
            <w:vAlign w:val="center"/>
          </w:tcPr>
          <w:p w14:paraId="6716620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1.名称:空调机</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2.型号:3匹</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3.一级能效</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4.安装形式:落地安装</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8F64C8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4F591A7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18E346FA">
        <w:tblPrEx>
          <w:tblCellMar>
            <w:top w:w="0" w:type="dxa"/>
            <w:left w:w="108" w:type="dxa"/>
            <w:bottom w:w="0" w:type="dxa"/>
            <w:right w:w="108" w:type="dxa"/>
          </w:tblCellMar>
        </w:tblPrEx>
        <w:trPr>
          <w:trHeight w:val="1237" w:hRule="atLeast"/>
          <w:jc w:val="center"/>
        </w:trPr>
        <w:tc>
          <w:tcPr>
            <w:tcW w:w="417" w:type="pct"/>
            <w:tcBorders>
              <w:top w:val="single" w:color="000000" w:sz="4" w:space="0"/>
              <w:left w:val="single" w:color="000000" w:sz="4" w:space="0"/>
              <w:bottom w:val="single" w:color="auto" w:sz="4" w:space="0"/>
              <w:right w:val="single" w:color="000000" w:sz="4" w:space="0"/>
            </w:tcBorders>
            <w:noWrap/>
            <w:vAlign w:val="center"/>
          </w:tcPr>
          <w:p w14:paraId="2F3A1B0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1" w:type="pct"/>
            <w:tcBorders>
              <w:top w:val="single" w:color="000000" w:sz="4" w:space="0"/>
              <w:left w:val="single" w:color="000000" w:sz="4" w:space="0"/>
              <w:bottom w:val="single" w:color="auto" w:sz="4" w:space="0"/>
              <w:right w:val="single" w:color="000000" w:sz="4" w:space="0"/>
            </w:tcBorders>
            <w:noWrap/>
            <w:vAlign w:val="center"/>
          </w:tcPr>
          <w:p w14:paraId="6A61141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挂机空调</w:t>
            </w:r>
          </w:p>
        </w:tc>
        <w:tc>
          <w:tcPr>
            <w:tcW w:w="736" w:type="pct"/>
            <w:tcBorders>
              <w:top w:val="single" w:color="000000" w:sz="4" w:space="0"/>
              <w:left w:val="single" w:color="000000" w:sz="4" w:space="0"/>
              <w:bottom w:val="single" w:color="auto" w:sz="4" w:space="0"/>
              <w:right w:val="single" w:color="000000" w:sz="4" w:space="0"/>
            </w:tcBorders>
            <w:noWrap/>
            <w:vAlign w:val="center"/>
          </w:tcPr>
          <w:p w14:paraId="132489E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KFR-35GW/A11一级能耗（美的）</w:t>
            </w:r>
          </w:p>
        </w:tc>
        <w:tc>
          <w:tcPr>
            <w:tcW w:w="2215" w:type="pct"/>
            <w:tcBorders>
              <w:top w:val="single" w:color="000000" w:sz="4" w:space="0"/>
              <w:left w:val="single" w:color="000000" w:sz="4" w:space="0"/>
              <w:bottom w:val="single" w:color="auto" w:sz="4" w:space="0"/>
              <w:right w:val="single" w:color="000000" w:sz="4" w:space="0"/>
            </w:tcBorders>
            <w:vAlign w:val="center"/>
          </w:tcPr>
          <w:p w14:paraId="2652F32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1.名称:空调机</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2.型号:1.5匹</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3.一级能效</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4.安装形式:墙壁安装</w:t>
            </w:r>
          </w:p>
        </w:tc>
        <w:tc>
          <w:tcPr>
            <w:tcW w:w="265" w:type="pct"/>
            <w:tcBorders>
              <w:top w:val="single" w:color="000000" w:sz="4" w:space="0"/>
              <w:left w:val="single" w:color="000000" w:sz="4" w:space="0"/>
              <w:bottom w:val="single" w:color="auto" w:sz="4" w:space="0"/>
              <w:right w:val="single" w:color="000000" w:sz="4" w:space="0"/>
            </w:tcBorders>
            <w:noWrap/>
            <w:vAlign w:val="center"/>
          </w:tcPr>
          <w:p w14:paraId="1060822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auto" w:sz="4" w:space="0"/>
              <w:right w:val="single" w:color="000000" w:sz="4" w:space="0"/>
            </w:tcBorders>
            <w:noWrap/>
            <w:vAlign w:val="center"/>
          </w:tcPr>
          <w:p w14:paraId="1947310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23FB5024">
        <w:tblPrEx>
          <w:tblCellMar>
            <w:top w:w="0" w:type="dxa"/>
            <w:left w:w="108" w:type="dxa"/>
            <w:bottom w:w="0" w:type="dxa"/>
            <w:right w:w="108" w:type="dxa"/>
          </w:tblCellMar>
        </w:tblPrEx>
        <w:trPr>
          <w:trHeight w:val="501"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78A2D9C3">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宣传墙</w:t>
            </w:r>
          </w:p>
        </w:tc>
      </w:tr>
      <w:tr w14:paraId="35BAA784">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A32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30C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电视机</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1BE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小米70寸电视</w:t>
            </w:r>
          </w:p>
        </w:tc>
        <w:tc>
          <w:tcPr>
            <w:tcW w:w="2215" w:type="pct"/>
            <w:tcBorders>
              <w:top w:val="nil"/>
              <w:left w:val="single" w:color="000000" w:sz="4" w:space="0"/>
              <w:bottom w:val="single" w:color="000000" w:sz="4" w:space="0"/>
              <w:right w:val="single" w:color="000000" w:sz="4" w:space="0"/>
            </w:tcBorders>
            <w:shd w:val="clear" w:color="auto" w:fill="auto"/>
            <w:vAlign w:val="center"/>
          </w:tcPr>
          <w:p w14:paraId="458A7CF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1.名称:液晶电视机</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2.规格:70寸</w:t>
            </w:r>
          </w:p>
        </w:tc>
        <w:tc>
          <w:tcPr>
            <w:tcW w:w="265" w:type="pct"/>
            <w:tcBorders>
              <w:top w:val="single" w:color="000000" w:sz="4" w:space="0"/>
              <w:left w:val="single" w:color="000000" w:sz="4" w:space="0"/>
              <w:bottom w:val="single" w:color="000000" w:sz="4" w:space="0"/>
              <w:right w:val="nil"/>
            </w:tcBorders>
            <w:shd w:val="clear" w:color="FFFFFF" w:fill="FFFFFF"/>
            <w:vAlign w:val="center"/>
          </w:tcPr>
          <w:p w14:paraId="09A7D942">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台</w:t>
            </w:r>
          </w:p>
        </w:tc>
        <w:tc>
          <w:tcPr>
            <w:tcW w:w="363" w:type="pct"/>
            <w:tcBorders>
              <w:top w:val="single" w:color="000000" w:sz="4" w:space="0"/>
              <w:left w:val="single" w:color="000000" w:sz="4" w:space="0"/>
              <w:bottom w:val="single" w:color="000000" w:sz="4" w:space="0"/>
              <w:right w:val="single" w:color="000000" w:sz="4" w:space="0"/>
            </w:tcBorders>
            <w:vAlign w:val="center"/>
          </w:tcPr>
          <w:p w14:paraId="632F938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7DA7CB66">
        <w:tblPrEx>
          <w:tblCellMar>
            <w:top w:w="0" w:type="dxa"/>
            <w:left w:w="108" w:type="dxa"/>
            <w:bottom w:w="0" w:type="dxa"/>
            <w:right w:w="108" w:type="dxa"/>
          </w:tblCellMar>
        </w:tblPrEx>
        <w:trPr>
          <w:trHeight w:val="317" w:hRule="atLeast"/>
          <w:jc w:val="center"/>
        </w:trPr>
        <w:tc>
          <w:tcPr>
            <w:tcW w:w="417" w:type="pct"/>
            <w:tcBorders>
              <w:top w:val="nil"/>
              <w:left w:val="single" w:color="000000" w:sz="4" w:space="0"/>
              <w:bottom w:val="single" w:color="auto" w:sz="4" w:space="0"/>
              <w:right w:val="single" w:color="000000" w:sz="4" w:space="0"/>
            </w:tcBorders>
            <w:noWrap/>
            <w:vAlign w:val="center"/>
          </w:tcPr>
          <w:p w14:paraId="08A4844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1" w:type="pct"/>
            <w:tcBorders>
              <w:top w:val="nil"/>
              <w:left w:val="single" w:color="000000" w:sz="4" w:space="0"/>
              <w:bottom w:val="single" w:color="auto" w:sz="4" w:space="0"/>
              <w:right w:val="single" w:color="000000" w:sz="4" w:space="0"/>
            </w:tcBorders>
            <w:vAlign w:val="center"/>
          </w:tcPr>
          <w:p w14:paraId="3AC18CD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高透防爆玻璃</w:t>
            </w:r>
          </w:p>
        </w:tc>
        <w:tc>
          <w:tcPr>
            <w:tcW w:w="736" w:type="pct"/>
            <w:tcBorders>
              <w:top w:val="nil"/>
              <w:left w:val="single" w:color="000000" w:sz="4" w:space="0"/>
              <w:bottom w:val="single" w:color="auto" w:sz="4" w:space="0"/>
              <w:right w:val="single" w:color="000000" w:sz="4" w:space="0"/>
            </w:tcBorders>
            <w:noWrap/>
            <w:vAlign w:val="center"/>
          </w:tcPr>
          <w:p w14:paraId="65794E18">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215" w:type="pct"/>
            <w:tcBorders>
              <w:top w:val="nil"/>
              <w:left w:val="single" w:color="000000" w:sz="4" w:space="0"/>
              <w:bottom w:val="single" w:color="auto" w:sz="4" w:space="0"/>
              <w:right w:val="single" w:color="000000" w:sz="4" w:space="0"/>
            </w:tcBorders>
            <w:vAlign w:val="center"/>
          </w:tcPr>
          <w:p w14:paraId="433985C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4.玻璃厚度：10mm</w:t>
            </w:r>
          </w:p>
        </w:tc>
        <w:tc>
          <w:tcPr>
            <w:tcW w:w="265" w:type="pct"/>
            <w:tcBorders>
              <w:top w:val="nil"/>
              <w:left w:val="single" w:color="000000" w:sz="4" w:space="0"/>
              <w:bottom w:val="single" w:color="auto" w:sz="4" w:space="0"/>
              <w:right w:val="nil"/>
            </w:tcBorders>
            <w:noWrap/>
            <w:vAlign w:val="center"/>
          </w:tcPr>
          <w:p w14:paraId="667DF46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处</w:t>
            </w:r>
          </w:p>
        </w:tc>
        <w:tc>
          <w:tcPr>
            <w:tcW w:w="363" w:type="pct"/>
            <w:tcBorders>
              <w:top w:val="single" w:color="000000" w:sz="4" w:space="0"/>
              <w:left w:val="single" w:color="000000" w:sz="4" w:space="0"/>
              <w:bottom w:val="single" w:color="auto" w:sz="4" w:space="0"/>
              <w:right w:val="single" w:color="000000" w:sz="4" w:space="0"/>
            </w:tcBorders>
            <w:noWrap/>
            <w:vAlign w:val="center"/>
          </w:tcPr>
          <w:p w14:paraId="03BC0E0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1AB3A239">
        <w:tblPrEx>
          <w:tblCellMar>
            <w:top w:w="0" w:type="dxa"/>
            <w:left w:w="108" w:type="dxa"/>
            <w:bottom w:w="0" w:type="dxa"/>
            <w:right w:w="108" w:type="dxa"/>
          </w:tblCellMar>
        </w:tblPrEx>
        <w:trPr>
          <w:trHeight w:val="59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AA37B43">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收银相关</w:t>
            </w:r>
          </w:p>
        </w:tc>
      </w:tr>
      <w:tr w14:paraId="395606D1">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72D35AC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6FC3C97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收银一体机</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752AE5C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5A89653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I3/4G+64G/15.6屏（含收银系统+扫描枪+含58小票机）</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56101B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7CA2B39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r>
      <w:tr w14:paraId="37E9040A">
        <w:tblPrEx>
          <w:tblCellMar>
            <w:top w:w="0" w:type="dxa"/>
            <w:left w:w="108" w:type="dxa"/>
            <w:bottom w:w="0" w:type="dxa"/>
            <w:right w:w="108" w:type="dxa"/>
          </w:tblCellMar>
        </w:tblPrEx>
        <w:trPr>
          <w:trHeight w:val="31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102597C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37624F4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手持PDA</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56909543">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0820344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2G+6G</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0EE6E4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4153F6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178189F5">
        <w:tblPrEx>
          <w:tblCellMar>
            <w:top w:w="0" w:type="dxa"/>
            <w:left w:w="108" w:type="dxa"/>
            <w:bottom w:w="0" w:type="dxa"/>
            <w:right w:w="108" w:type="dxa"/>
          </w:tblCellMar>
        </w:tblPrEx>
        <w:trPr>
          <w:trHeight w:val="408"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7B767AC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7692BF2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IC读卡器</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64615CF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7E1BD95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IC写卡、读卡</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19FF170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345B33C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294267B7">
        <w:tblPrEx>
          <w:tblCellMar>
            <w:top w:w="0" w:type="dxa"/>
            <w:left w:w="108" w:type="dxa"/>
            <w:bottom w:w="0" w:type="dxa"/>
            <w:right w:w="108" w:type="dxa"/>
          </w:tblCellMar>
        </w:tblPrEx>
        <w:trPr>
          <w:trHeight w:val="31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2D6CBDC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2582052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路由器</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6758ABE7">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TP link </w:t>
            </w:r>
          </w:p>
        </w:tc>
        <w:tc>
          <w:tcPr>
            <w:tcW w:w="2215" w:type="pct"/>
            <w:tcBorders>
              <w:top w:val="single" w:color="000000" w:sz="4" w:space="0"/>
              <w:left w:val="single" w:color="000000" w:sz="4" w:space="0"/>
              <w:bottom w:val="single" w:color="000000" w:sz="4" w:space="0"/>
              <w:right w:val="single" w:color="000000" w:sz="4" w:space="0"/>
            </w:tcBorders>
            <w:vAlign w:val="center"/>
          </w:tcPr>
          <w:p w14:paraId="5E2A64F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无线路由器</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B7A6E6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0A91C8D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r>
      <w:tr w14:paraId="14999F17">
        <w:tblPrEx>
          <w:tblCellMar>
            <w:top w:w="0" w:type="dxa"/>
            <w:left w:w="108" w:type="dxa"/>
            <w:bottom w:w="0" w:type="dxa"/>
            <w:right w:w="108" w:type="dxa"/>
          </w:tblCellMar>
        </w:tblPrEx>
        <w:trPr>
          <w:trHeight w:val="519" w:hRule="atLeast"/>
          <w:jc w:val="center"/>
        </w:trPr>
        <w:tc>
          <w:tcPr>
            <w:tcW w:w="5000" w:type="pct"/>
            <w:gridSpan w:val="6"/>
            <w:tcBorders>
              <w:top w:val="single" w:color="auto" w:sz="4" w:space="0"/>
              <w:left w:val="single" w:color="000000" w:sz="4" w:space="0"/>
              <w:bottom w:val="single" w:color="000000" w:sz="4" w:space="0"/>
              <w:right w:val="single" w:color="000000" w:sz="4" w:space="0"/>
            </w:tcBorders>
            <w:noWrap/>
            <w:vAlign w:val="center"/>
          </w:tcPr>
          <w:p w14:paraId="27D9B98E">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照明</w:t>
            </w:r>
          </w:p>
        </w:tc>
      </w:tr>
      <w:tr w14:paraId="194B92B5">
        <w:tblPrEx>
          <w:tblCellMar>
            <w:top w:w="0" w:type="dxa"/>
            <w:left w:w="108" w:type="dxa"/>
            <w:bottom w:w="0" w:type="dxa"/>
            <w:right w:w="108" w:type="dxa"/>
          </w:tblCellMar>
        </w:tblPrEx>
        <w:trPr>
          <w:trHeight w:val="359"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2543733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0B69BC9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灯杆</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5FCCDD6E">
            <w:pPr>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215" w:type="pct"/>
            <w:tcBorders>
              <w:top w:val="single" w:color="000000" w:sz="4" w:space="0"/>
              <w:left w:val="single" w:color="000000" w:sz="4" w:space="0"/>
              <w:bottom w:val="single" w:color="000000" w:sz="4" w:space="0"/>
              <w:right w:val="single" w:color="000000" w:sz="4" w:space="0"/>
            </w:tcBorders>
            <w:vAlign w:val="center"/>
          </w:tcPr>
          <w:p w14:paraId="0BC1BAA0">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1AACF96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E50036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w:t>
            </w:r>
          </w:p>
        </w:tc>
      </w:tr>
      <w:tr w14:paraId="105244D0">
        <w:tblPrEx>
          <w:tblCellMar>
            <w:top w:w="0" w:type="dxa"/>
            <w:left w:w="108" w:type="dxa"/>
            <w:bottom w:w="0" w:type="dxa"/>
            <w:right w:w="108" w:type="dxa"/>
          </w:tblCellMar>
        </w:tblPrEx>
        <w:trPr>
          <w:trHeight w:val="31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1BEEDD5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3972651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路灯</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6906CB38">
            <w:pPr>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215" w:type="pct"/>
            <w:tcBorders>
              <w:top w:val="single" w:color="000000" w:sz="4" w:space="0"/>
              <w:left w:val="single" w:color="000000" w:sz="4" w:space="0"/>
              <w:bottom w:val="single" w:color="000000" w:sz="4" w:space="0"/>
              <w:right w:val="single" w:color="000000" w:sz="4" w:space="0"/>
            </w:tcBorders>
            <w:vAlign w:val="center"/>
          </w:tcPr>
          <w:p w14:paraId="112BD400">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57BDD2C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个</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08AD2C0">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38</w:t>
            </w:r>
          </w:p>
        </w:tc>
      </w:tr>
      <w:tr w14:paraId="5C76CD81">
        <w:tblPrEx>
          <w:tblCellMar>
            <w:top w:w="0" w:type="dxa"/>
            <w:left w:w="108" w:type="dxa"/>
            <w:bottom w:w="0" w:type="dxa"/>
            <w:right w:w="108" w:type="dxa"/>
          </w:tblCellMar>
        </w:tblPrEx>
        <w:trPr>
          <w:trHeight w:val="317"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5DF8A8D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2CCF3BE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灯带</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30A88BB0">
            <w:pPr>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215" w:type="pct"/>
            <w:tcBorders>
              <w:top w:val="single" w:color="000000" w:sz="4" w:space="0"/>
              <w:left w:val="single" w:color="000000" w:sz="4" w:space="0"/>
              <w:bottom w:val="single" w:color="000000" w:sz="4" w:space="0"/>
              <w:right w:val="single" w:color="000000" w:sz="4" w:space="0"/>
            </w:tcBorders>
            <w:vAlign w:val="center"/>
          </w:tcPr>
          <w:p w14:paraId="3C6313B9">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C2122F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米</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5DECAEE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600</w:t>
            </w:r>
          </w:p>
        </w:tc>
      </w:tr>
      <w:tr w14:paraId="52F30D50">
        <w:tblPrEx>
          <w:tblCellMar>
            <w:top w:w="0" w:type="dxa"/>
            <w:left w:w="108" w:type="dxa"/>
            <w:bottom w:w="0" w:type="dxa"/>
            <w:right w:w="108" w:type="dxa"/>
          </w:tblCellMar>
        </w:tblPrEx>
        <w:trPr>
          <w:trHeight w:val="549" w:hRule="atLeast"/>
          <w:jc w:val="center"/>
        </w:trPr>
        <w:tc>
          <w:tcPr>
            <w:tcW w:w="5000" w:type="pct"/>
            <w:gridSpan w:val="6"/>
            <w:tcBorders>
              <w:top w:val="single" w:color="auto" w:sz="4" w:space="0"/>
              <w:left w:val="single" w:color="000000" w:sz="4" w:space="0"/>
              <w:bottom w:val="single" w:color="000000" w:sz="4" w:space="0"/>
              <w:right w:val="single" w:color="000000" w:sz="4" w:space="0"/>
            </w:tcBorders>
            <w:noWrap/>
            <w:vAlign w:val="center"/>
          </w:tcPr>
          <w:p w14:paraId="5FFDE95C">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卡丁车</w:t>
            </w:r>
          </w:p>
        </w:tc>
      </w:tr>
      <w:tr w14:paraId="169FA6B3">
        <w:tblPrEx>
          <w:tblCellMar>
            <w:top w:w="0" w:type="dxa"/>
            <w:left w:w="108" w:type="dxa"/>
            <w:bottom w:w="0" w:type="dxa"/>
            <w:right w:w="108" w:type="dxa"/>
          </w:tblCellMar>
        </w:tblPrEx>
        <w:trPr>
          <w:trHeight w:val="5343"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50A8BF4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vMerge w:val="restart"/>
            <w:tcBorders>
              <w:top w:val="single" w:color="000000" w:sz="4" w:space="0"/>
              <w:left w:val="single" w:color="000000" w:sz="4" w:space="0"/>
              <w:bottom w:val="single" w:color="000000" w:sz="4" w:space="0"/>
              <w:right w:val="single" w:color="000000" w:sz="4" w:space="0"/>
            </w:tcBorders>
            <w:noWrap/>
            <w:vAlign w:val="center"/>
          </w:tcPr>
          <w:p w14:paraId="7B57FB6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卡丁车</w:t>
            </w:r>
          </w:p>
        </w:tc>
        <w:tc>
          <w:tcPr>
            <w:tcW w:w="736" w:type="pct"/>
            <w:tcBorders>
              <w:top w:val="single" w:color="000000" w:sz="4" w:space="0"/>
              <w:left w:val="single" w:color="000000" w:sz="4" w:space="0"/>
              <w:bottom w:val="single" w:color="000000" w:sz="4" w:space="0"/>
              <w:right w:val="single" w:color="000000" w:sz="4" w:space="0"/>
            </w:tcBorders>
            <w:vAlign w:val="center"/>
          </w:tcPr>
          <w:p w14:paraId="15275CD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九号卡丁车pro2</w:t>
            </w:r>
          </w:p>
        </w:tc>
        <w:tc>
          <w:tcPr>
            <w:tcW w:w="2215" w:type="pct"/>
            <w:tcBorders>
              <w:top w:val="single" w:color="000000" w:sz="4" w:space="0"/>
              <w:left w:val="single" w:color="000000" w:sz="4" w:space="0"/>
              <w:bottom w:val="single" w:color="000000" w:sz="4" w:space="0"/>
              <w:right w:val="single" w:color="000000" w:sz="4" w:space="0"/>
            </w:tcBorders>
            <w:vAlign w:val="center"/>
          </w:tcPr>
          <w:p w14:paraId="0EB28C6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品牌：九号</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1.最高速度43km/h</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2.最大续航25km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3.最大载重100kg</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4.身高要求130-190cm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5.支持漂移功能、游戏模式、手动挡模式</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6.多功能电子彩屏码表</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7.单独蓝牙音响，有赛车+手动挡换音效</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8.最大扭矩96N.m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9.制动方式：电刹+高摩擦力机械手刹</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10.前轮轮胎：高抓地力免维护中空胎；后轮轮胎：快拆式运动飘逸胎</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11. 金属踏板</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12.电机类型为：风冷轮毂电机，额定功率900W</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13.电池容量432w</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14.充电时间：4h左右</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15.电压63V</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5ED8445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24C8EFA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r>
      <w:tr w14:paraId="3EC39BA7">
        <w:tblPrEx>
          <w:tblCellMar>
            <w:top w:w="0" w:type="dxa"/>
            <w:left w:w="108" w:type="dxa"/>
            <w:bottom w:w="0" w:type="dxa"/>
            <w:right w:w="108" w:type="dxa"/>
          </w:tblCellMar>
        </w:tblPrEx>
        <w:trPr>
          <w:trHeight w:val="1881"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1BB2DB8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1" w:type="pct"/>
            <w:vMerge w:val="continue"/>
            <w:tcBorders>
              <w:top w:val="single" w:color="000000" w:sz="4" w:space="0"/>
              <w:left w:val="single" w:color="000000" w:sz="4" w:space="0"/>
              <w:bottom w:val="single" w:color="000000" w:sz="4" w:space="0"/>
              <w:right w:val="single" w:color="000000" w:sz="4" w:space="0"/>
            </w:tcBorders>
            <w:noWrap/>
            <w:vAlign w:val="center"/>
          </w:tcPr>
          <w:p w14:paraId="5652590E">
            <w:pPr>
              <w:jc w:val="center"/>
              <w:rPr>
                <w:rFonts w:hint="eastAsia" w:ascii="仿宋_GB2312" w:hAnsi="仿宋_GB2312" w:eastAsia="仿宋_GB2312" w:cs="仿宋_GB2312"/>
                <w:color w:val="000000"/>
                <w:szCs w:val="21"/>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5ACE3C7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九号卡丁车改装套件2+平衡车minipro2</w:t>
            </w:r>
          </w:p>
        </w:tc>
        <w:tc>
          <w:tcPr>
            <w:tcW w:w="2215" w:type="pct"/>
            <w:tcBorders>
              <w:top w:val="single" w:color="000000" w:sz="4" w:space="0"/>
              <w:left w:val="single" w:color="000000" w:sz="4" w:space="0"/>
              <w:bottom w:val="single" w:color="000000" w:sz="4" w:space="0"/>
              <w:right w:val="single" w:color="000000" w:sz="4" w:space="0"/>
            </w:tcBorders>
            <w:vAlign w:val="center"/>
          </w:tcPr>
          <w:p w14:paraId="17034B7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品牌：九号</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1.最高速度27km/h</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2.最大续航25km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3.最大载重100kg</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4.身高要求130-190cm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5.支持漂移功能、游戏模式、手动挡模式</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6.多功能电子彩屏码表</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7.内置蓝牙音响</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8.最大扭矩60N.m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9.制动方式：电刹+机械手刹</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10.前轮轮胎：高抓地力免维护中空胎；后轮轮胎：越野真空胎</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11.塑料踏板</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12.电机类型为：轮毂电机，额定功率800W</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13.电池容量335w</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14.充电时间：4.5h左右</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15.电压54V</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60E992E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08F90B7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w:t>
            </w:r>
          </w:p>
        </w:tc>
      </w:tr>
      <w:tr w14:paraId="49C9773B">
        <w:tblPrEx>
          <w:tblCellMar>
            <w:top w:w="0" w:type="dxa"/>
            <w:left w:w="108" w:type="dxa"/>
            <w:bottom w:w="0" w:type="dxa"/>
            <w:right w:w="108" w:type="dxa"/>
          </w:tblCellMar>
        </w:tblPrEx>
        <w:trPr>
          <w:trHeight w:val="421"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4709498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w:t>
            </w:r>
          </w:p>
        </w:tc>
        <w:tc>
          <w:tcPr>
            <w:tcW w:w="1001" w:type="pct"/>
            <w:tcBorders>
              <w:top w:val="single" w:color="000000" w:sz="4" w:space="0"/>
              <w:left w:val="single" w:color="000000" w:sz="4" w:space="0"/>
              <w:bottom w:val="single" w:color="000000" w:sz="4" w:space="0"/>
              <w:right w:val="single" w:color="000000" w:sz="4" w:space="0"/>
            </w:tcBorders>
            <w:vAlign w:val="center"/>
          </w:tcPr>
          <w:p w14:paraId="3D46965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卡丁车托挂件</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69BCDF1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托挂件</w:t>
            </w:r>
          </w:p>
        </w:tc>
        <w:tc>
          <w:tcPr>
            <w:tcW w:w="2215" w:type="pct"/>
            <w:tcBorders>
              <w:top w:val="single" w:color="000000" w:sz="4" w:space="0"/>
              <w:left w:val="single" w:color="000000" w:sz="4" w:space="0"/>
              <w:bottom w:val="single" w:color="000000" w:sz="4" w:space="0"/>
              <w:right w:val="single" w:color="000000" w:sz="4" w:space="0"/>
            </w:tcBorders>
            <w:noWrap/>
            <w:vAlign w:val="center"/>
          </w:tcPr>
          <w:p w14:paraId="4C1DEE8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可载人</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5207AC0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347C77A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r>
      <w:tr w14:paraId="2CC21188">
        <w:tblPrEx>
          <w:tblCellMar>
            <w:top w:w="0" w:type="dxa"/>
            <w:left w:w="108" w:type="dxa"/>
            <w:bottom w:w="0" w:type="dxa"/>
            <w:right w:w="108" w:type="dxa"/>
          </w:tblCellMar>
        </w:tblPrEx>
        <w:trPr>
          <w:trHeight w:val="441"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6F44498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w:t>
            </w:r>
          </w:p>
        </w:tc>
        <w:tc>
          <w:tcPr>
            <w:tcW w:w="1001" w:type="pct"/>
            <w:tcBorders>
              <w:top w:val="single" w:color="000000" w:sz="4" w:space="0"/>
              <w:left w:val="single" w:color="000000" w:sz="4" w:space="0"/>
              <w:bottom w:val="single" w:color="000000" w:sz="4" w:space="0"/>
              <w:right w:val="single" w:color="000000" w:sz="4" w:space="0"/>
            </w:tcBorders>
            <w:vAlign w:val="center"/>
          </w:tcPr>
          <w:p w14:paraId="352344B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头盔、护具</w:t>
            </w:r>
          </w:p>
        </w:tc>
        <w:tc>
          <w:tcPr>
            <w:tcW w:w="736" w:type="pct"/>
            <w:tcBorders>
              <w:top w:val="single" w:color="000000" w:sz="4" w:space="0"/>
              <w:left w:val="single" w:color="000000" w:sz="4" w:space="0"/>
              <w:bottom w:val="single" w:color="000000" w:sz="4" w:space="0"/>
              <w:right w:val="single" w:color="000000" w:sz="4" w:space="0"/>
            </w:tcBorders>
            <w:vAlign w:val="center"/>
          </w:tcPr>
          <w:p w14:paraId="2495B0B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头盔、护具</w:t>
            </w:r>
          </w:p>
        </w:tc>
        <w:tc>
          <w:tcPr>
            <w:tcW w:w="2215" w:type="pct"/>
            <w:tcBorders>
              <w:top w:val="single" w:color="000000" w:sz="4" w:space="0"/>
              <w:left w:val="single" w:color="000000" w:sz="4" w:space="0"/>
              <w:bottom w:val="single" w:color="000000" w:sz="4" w:space="0"/>
              <w:right w:val="single" w:color="000000" w:sz="4" w:space="0"/>
            </w:tcBorders>
            <w:noWrap/>
            <w:vAlign w:val="center"/>
          </w:tcPr>
          <w:p w14:paraId="7658FB5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符合国家标准</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B7AFD3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1BB8D07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20</w:t>
            </w:r>
          </w:p>
        </w:tc>
      </w:tr>
      <w:tr w14:paraId="7FB8801A">
        <w:tblPrEx>
          <w:tblCellMar>
            <w:top w:w="0" w:type="dxa"/>
            <w:left w:w="108" w:type="dxa"/>
            <w:bottom w:w="0" w:type="dxa"/>
            <w:right w:w="108" w:type="dxa"/>
          </w:tblCellMar>
        </w:tblPrEx>
        <w:trPr>
          <w:trHeight w:val="624" w:hRule="atLeast"/>
          <w:jc w:val="center"/>
        </w:trPr>
        <w:tc>
          <w:tcPr>
            <w:tcW w:w="417" w:type="pct"/>
            <w:tcBorders>
              <w:top w:val="single" w:color="000000" w:sz="4" w:space="0"/>
              <w:left w:val="single" w:color="000000" w:sz="4" w:space="0"/>
              <w:bottom w:val="single" w:color="auto" w:sz="4" w:space="0"/>
              <w:right w:val="single" w:color="000000" w:sz="4" w:space="0"/>
            </w:tcBorders>
            <w:noWrap/>
            <w:vAlign w:val="center"/>
          </w:tcPr>
          <w:p w14:paraId="62C0009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c>
          <w:tcPr>
            <w:tcW w:w="1001" w:type="pct"/>
            <w:tcBorders>
              <w:top w:val="single" w:color="000000" w:sz="4" w:space="0"/>
              <w:left w:val="single" w:color="000000" w:sz="4" w:space="0"/>
              <w:bottom w:val="single" w:color="auto" w:sz="4" w:space="0"/>
              <w:right w:val="single" w:color="000000" w:sz="4" w:space="0"/>
            </w:tcBorders>
            <w:vAlign w:val="center"/>
          </w:tcPr>
          <w:p w14:paraId="7EAD9BC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赛车服装</w:t>
            </w:r>
          </w:p>
        </w:tc>
        <w:tc>
          <w:tcPr>
            <w:tcW w:w="736" w:type="pct"/>
            <w:tcBorders>
              <w:top w:val="single" w:color="000000" w:sz="4" w:space="0"/>
              <w:left w:val="single" w:color="000000" w:sz="4" w:space="0"/>
              <w:bottom w:val="single" w:color="auto" w:sz="4" w:space="0"/>
              <w:right w:val="single" w:color="000000" w:sz="4" w:space="0"/>
            </w:tcBorders>
            <w:vAlign w:val="center"/>
          </w:tcPr>
          <w:p w14:paraId="417084B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Jeep吉普赛车服</w:t>
            </w:r>
          </w:p>
        </w:tc>
        <w:tc>
          <w:tcPr>
            <w:tcW w:w="2215" w:type="pct"/>
            <w:tcBorders>
              <w:top w:val="single" w:color="000000" w:sz="4" w:space="0"/>
              <w:left w:val="single" w:color="000000" w:sz="4" w:space="0"/>
              <w:bottom w:val="single" w:color="auto" w:sz="4" w:space="0"/>
              <w:right w:val="single" w:color="000000" w:sz="4" w:space="0"/>
            </w:tcBorders>
            <w:noWrap/>
            <w:vAlign w:val="center"/>
          </w:tcPr>
          <w:p w14:paraId="0F258A5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符合国家标准</w:t>
            </w:r>
          </w:p>
        </w:tc>
        <w:tc>
          <w:tcPr>
            <w:tcW w:w="265" w:type="pct"/>
            <w:tcBorders>
              <w:top w:val="single" w:color="000000" w:sz="4" w:space="0"/>
              <w:left w:val="single" w:color="000000" w:sz="4" w:space="0"/>
              <w:bottom w:val="single" w:color="auto" w:sz="4" w:space="0"/>
              <w:right w:val="single" w:color="000000" w:sz="4" w:space="0"/>
            </w:tcBorders>
            <w:noWrap/>
            <w:vAlign w:val="center"/>
          </w:tcPr>
          <w:p w14:paraId="7E77C08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套</w:t>
            </w:r>
          </w:p>
        </w:tc>
        <w:tc>
          <w:tcPr>
            <w:tcW w:w="363" w:type="pct"/>
            <w:tcBorders>
              <w:top w:val="single" w:color="000000" w:sz="4" w:space="0"/>
              <w:left w:val="single" w:color="000000" w:sz="4" w:space="0"/>
              <w:bottom w:val="single" w:color="auto" w:sz="4" w:space="0"/>
              <w:right w:val="single" w:color="000000" w:sz="4" w:space="0"/>
            </w:tcBorders>
            <w:noWrap/>
            <w:vAlign w:val="center"/>
          </w:tcPr>
          <w:p w14:paraId="30CE0AA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w:t>
            </w:r>
          </w:p>
        </w:tc>
      </w:tr>
      <w:tr w14:paraId="0CD1703F">
        <w:tblPrEx>
          <w:tblCellMar>
            <w:top w:w="0" w:type="dxa"/>
            <w:left w:w="108" w:type="dxa"/>
            <w:bottom w:w="0" w:type="dxa"/>
            <w:right w:w="108" w:type="dxa"/>
          </w:tblCellMar>
        </w:tblPrEx>
        <w:trPr>
          <w:trHeight w:val="52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4BB98F96">
            <w:pPr>
              <w:widowControl/>
              <w:jc w:val="center"/>
              <w:textAlignment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其余杂项</w:t>
            </w:r>
          </w:p>
        </w:tc>
      </w:tr>
      <w:tr w14:paraId="13D0C9CB">
        <w:tblPrEx>
          <w:tblCellMar>
            <w:top w:w="0" w:type="dxa"/>
            <w:left w:w="108" w:type="dxa"/>
            <w:bottom w:w="0" w:type="dxa"/>
            <w:right w:w="108" w:type="dxa"/>
          </w:tblCellMar>
        </w:tblPrEx>
        <w:trPr>
          <w:trHeight w:val="33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72294C2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0E4E781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广告牌</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7CCE9D16">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70573E05">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163DB4A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B37289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1C3B9016">
        <w:tblPrEx>
          <w:tblCellMar>
            <w:top w:w="0" w:type="dxa"/>
            <w:left w:w="108" w:type="dxa"/>
            <w:bottom w:w="0" w:type="dxa"/>
            <w:right w:w="108" w:type="dxa"/>
          </w:tblCellMar>
        </w:tblPrEx>
        <w:trPr>
          <w:trHeight w:val="154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13D08A5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001" w:type="pct"/>
            <w:tcBorders>
              <w:top w:val="single" w:color="000000" w:sz="4" w:space="0"/>
              <w:left w:val="single" w:color="000000" w:sz="4" w:space="0"/>
              <w:bottom w:val="single" w:color="000000" w:sz="4" w:space="0"/>
              <w:right w:val="single" w:color="000000" w:sz="4" w:space="0"/>
            </w:tcBorders>
            <w:vAlign w:val="center"/>
          </w:tcPr>
          <w:p w14:paraId="70A1511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手持锂电池大功率吹风机</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63310284">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博程强劲风力 8.0AH 二电</w:t>
            </w:r>
          </w:p>
        </w:tc>
        <w:tc>
          <w:tcPr>
            <w:tcW w:w="2215" w:type="pct"/>
            <w:tcBorders>
              <w:top w:val="single" w:color="000000" w:sz="4" w:space="0"/>
              <w:left w:val="single" w:color="000000" w:sz="4" w:space="0"/>
              <w:bottom w:val="single" w:color="000000" w:sz="4" w:space="0"/>
              <w:right w:val="single" w:color="000000" w:sz="4" w:space="0"/>
            </w:tcBorders>
            <w:vAlign w:val="center"/>
          </w:tcPr>
          <w:p w14:paraId="09CD493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1.电池电压：21V</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2.空载转速：不小于30000r/min</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3.额定出风：不小于4m3/min</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4.风压：不小于5.5kpa</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5.20节电池2个</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8CE2BA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个</w:t>
            </w:r>
          </w:p>
        </w:tc>
        <w:tc>
          <w:tcPr>
            <w:tcW w:w="363" w:type="pct"/>
            <w:tcBorders>
              <w:top w:val="single" w:color="000000" w:sz="4" w:space="0"/>
              <w:left w:val="single" w:color="000000" w:sz="4" w:space="0"/>
              <w:bottom w:val="single" w:color="000000" w:sz="4" w:space="0"/>
              <w:right w:val="single" w:color="000000" w:sz="4" w:space="0"/>
            </w:tcBorders>
            <w:vAlign w:val="center"/>
          </w:tcPr>
          <w:p w14:paraId="4F03AA1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r>
      <w:tr w14:paraId="0303E2D9">
        <w:tblPrEx>
          <w:tblCellMar>
            <w:top w:w="0" w:type="dxa"/>
            <w:left w:w="108" w:type="dxa"/>
            <w:bottom w:w="0" w:type="dxa"/>
            <w:right w:w="108" w:type="dxa"/>
          </w:tblCellMar>
        </w:tblPrEx>
        <w:trPr>
          <w:trHeight w:val="1588"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09987DE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w:t>
            </w:r>
          </w:p>
        </w:tc>
        <w:tc>
          <w:tcPr>
            <w:tcW w:w="1001" w:type="pct"/>
            <w:tcBorders>
              <w:top w:val="single" w:color="000000" w:sz="4" w:space="0"/>
              <w:left w:val="single" w:color="000000" w:sz="4" w:space="0"/>
              <w:bottom w:val="single" w:color="000000" w:sz="4" w:space="0"/>
              <w:right w:val="single" w:color="000000" w:sz="4" w:space="0"/>
            </w:tcBorders>
            <w:vAlign w:val="center"/>
          </w:tcPr>
          <w:p w14:paraId="6526875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卡丁车样品展示架</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6667B66C">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九号卡丁车+定制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23CE881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1.展示架底座：尺寸：长1.5m*宽1m*高1m，钢管焊接底座，外包25mm厚花岗岩</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2.卡丁车样品一台</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3.外罩高透防爆玻璃罩，尺寸：长1.5m*宽1m*高0.8m</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4B229E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BF58B8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5543AF17">
        <w:tblPrEx>
          <w:tblCellMar>
            <w:top w:w="0" w:type="dxa"/>
            <w:left w:w="108" w:type="dxa"/>
            <w:bottom w:w="0" w:type="dxa"/>
            <w:right w:w="108" w:type="dxa"/>
          </w:tblCellMar>
        </w:tblPrEx>
        <w:trPr>
          <w:trHeight w:val="860"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420746C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0D446DF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木质推拉门</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17E0BEAE">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5C13F12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1.木栏杆处木质推拉门</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2.洞口尺寸:长2.7*高1.1m</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0EAE31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10DAD54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77D05A70">
        <w:tblPrEx>
          <w:tblCellMar>
            <w:top w:w="0" w:type="dxa"/>
            <w:left w:w="108" w:type="dxa"/>
            <w:bottom w:w="0" w:type="dxa"/>
            <w:right w:w="108" w:type="dxa"/>
          </w:tblCellMar>
        </w:tblPrEx>
        <w:trPr>
          <w:trHeight w:val="444"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2AAAE39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7166A93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道闸</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78FB2A75">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2FF24328">
            <w:pPr>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72FA2AF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70BACBB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r>
      <w:tr w14:paraId="5920A2D9">
        <w:tblPrEx>
          <w:tblCellMar>
            <w:top w:w="0" w:type="dxa"/>
            <w:left w:w="108" w:type="dxa"/>
            <w:bottom w:w="0" w:type="dxa"/>
            <w:right w:w="108" w:type="dxa"/>
          </w:tblCellMar>
        </w:tblPrEx>
        <w:trPr>
          <w:trHeight w:val="624" w:hRule="atLeast"/>
          <w:jc w:val="center"/>
        </w:trPr>
        <w:tc>
          <w:tcPr>
            <w:tcW w:w="5000" w:type="pct"/>
            <w:gridSpan w:val="6"/>
            <w:tcBorders>
              <w:top w:val="single" w:color="auto" w:sz="4" w:space="0"/>
              <w:left w:val="single" w:color="000000" w:sz="4" w:space="0"/>
              <w:bottom w:val="single" w:color="000000" w:sz="4" w:space="0"/>
              <w:right w:val="single" w:color="000000" w:sz="4" w:space="0"/>
            </w:tcBorders>
            <w:noWrap/>
            <w:vAlign w:val="center"/>
          </w:tcPr>
          <w:p w14:paraId="6B3C8397">
            <w:pPr>
              <w:widowControl/>
              <w:jc w:val="center"/>
              <w:textAlignment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b/>
                <w:bCs/>
                <w:color w:val="000000"/>
                <w:kern w:val="0"/>
                <w:sz w:val="32"/>
                <w:szCs w:val="32"/>
                <w:lang w:val="en-US" w:eastAsia="zh-CN"/>
              </w:rPr>
              <w:t>银滩小火车</w:t>
            </w:r>
          </w:p>
        </w:tc>
      </w:tr>
      <w:tr w14:paraId="4A5BF847">
        <w:tblPrEx>
          <w:tblCellMar>
            <w:top w:w="0" w:type="dxa"/>
            <w:left w:w="108" w:type="dxa"/>
            <w:bottom w:w="0" w:type="dxa"/>
            <w:right w:w="108" w:type="dxa"/>
          </w:tblCellMar>
        </w:tblPrEx>
        <w:trPr>
          <w:trHeight w:val="624" w:hRule="atLeast"/>
          <w:jc w:val="center"/>
        </w:trPr>
        <w:tc>
          <w:tcPr>
            <w:tcW w:w="417" w:type="pct"/>
            <w:tcBorders>
              <w:top w:val="single" w:color="auto" w:sz="4" w:space="0"/>
              <w:left w:val="single" w:color="000000" w:sz="4" w:space="0"/>
              <w:bottom w:val="single" w:color="000000" w:sz="4" w:space="0"/>
              <w:right w:val="single" w:color="000000" w:sz="4" w:space="0"/>
            </w:tcBorders>
            <w:noWrap/>
            <w:vAlign w:val="center"/>
          </w:tcPr>
          <w:p w14:paraId="4F94F7E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序号</w:t>
            </w:r>
          </w:p>
        </w:tc>
        <w:tc>
          <w:tcPr>
            <w:tcW w:w="1001" w:type="pct"/>
            <w:tcBorders>
              <w:top w:val="single" w:color="auto" w:sz="4" w:space="0"/>
              <w:left w:val="single" w:color="000000" w:sz="4" w:space="0"/>
              <w:bottom w:val="single" w:color="000000" w:sz="4" w:space="0"/>
              <w:right w:val="single" w:color="000000" w:sz="4" w:space="0"/>
            </w:tcBorders>
            <w:noWrap/>
            <w:vAlign w:val="center"/>
          </w:tcPr>
          <w:p w14:paraId="7B68D0A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    目</w:t>
            </w:r>
          </w:p>
        </w:tc>
        <w:tc>
          <w:tcPr>
            <w:tcW w:w="736" w:type="pct"/>
            <w:tcBorders>
              <w:top w:val="single" w:color="auto" w:sz="4" w:space="0"/>
              <w:left w:val="single" w:color="000000" w:sz="4" w:space="0"/>
              <w:bottom w:val="single" w:color="000000" w:sz="4" w:space="0"/>
              <w:right w:val="single" w:color="000000" w:sz="4" w:space="0"/>
            </w:tcBorders>
            <w:noWrap/>
            <w:vAlign w:val="center"/>
          </w:tcPr>
          <w:p w14:paraId="0C67224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型   号</w:t>
            </w:r>
          </w:p>
        </w:tc>
        <w:tc>
          <w:tcPr>
            <w:tcW w:w="2215" w:type="pct"/>
            <w:tcBorders>
              <w:top w:val="single" w:color="auto" w:sz="4" w:space="0"/>
              <w:left w:val="single" w:color="000000" w:sz="4" w:space="0"/>
              <w:bottom w:val="single" w:color="000000" w:sz="4" w:space="0"/>
              <w:right w:val="single" w:color="000000" w:sz="4" w:space="0"/>
            </w:tcBorders>
            <w:vAlign w:val="center"/>
          </w:tcPr>
          <w:p w14:paraId="397C949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参  数</w:t>
            </w:r>
          </w:p>
        </w:tc>
        <w:tc>
          <w:tcPr>
            <w:tcW w:w="265" w:type="pct"/>
            <w:tcBorders>
              <w:top w:val="single" w:color="auto" w:sz="4" w:space="0"/>
              <w:left w:val="single" w:color="000000" w:sz="4" w:space="0"/>
              <w:bottom w:val="single" w:color="000000" w:sz="4" w:space="0"/>
              <w:right w:val="single" w:color="000000" w:sz="4" w:space="0"/>
            </w:tcBorders>
            <w:noWrap/>
            <w:vAlign w:val="center"/>
          </w:tcPr>
          <w:p w14:paraId="46E0756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单位</w:t>
            </w:r>
          </w:p>
        </w:tc>
        <w:tc>
          <w:tcPr>
            <w:tcW w:w="363" w:type="pct"/>
            <w:tcBorders>
              <w:top w:val="single" w:color="auto" w:sz="4" w:space="0"/>
              <w:left w:val="single" w:color="000000" w:sz="4" w:space="0"/>
              <w:bottom w:val="single" w:color="000000" w:sz="4" w:space="0"/>
              <w:right w:val="single" w:color="000000" w:sz="4" w:space="0"/>
            </w:tcBorders>
            <w:vAlign w:val="center"/>
          </w:tcPr>
          <w:p w14:paraId="043D75F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数量</w:t>
            </w:r>
          </w:p>
        </w:tc>
      </w:tr>
      <w:tr w14:paraId="6648069B">
        <w:tblPrEx>
          <w:tblCellMar>
            <w:top w:w="0" w:type="dxa"/>
            <w:left w:w="108" w:type="dxa"/>
            <w:bottom w:w="0" w:type="dxa"/>
            <w:right w:w="108" w:type="dxa"/>
          </w:tblCellMar>
        </w:tblPrEx>
        <w:trPr>
          <w:trHeight w:val="3673" w:hRule="atLeast"/>
          <w:jc w:val="center"/>
        </w:trPr>
        <w:tc>
          <w:tcPr>
            <w:tcW w:w="417" w:type="pct"/>
            <w:tcBorders>
              <w:top w:val="single" w:color="000000" w:sz="4" w:space="0"/>
              <w:left w:val="single" w:color="000000" w:sz="4" w:space="0"/>
              <w:bottom w:val="single" w:color="000000" w:sz="4" w:space="0"/>
              <w:right w:val="single" w:color="000000" w:sz="4" w:space="0"/>
            </w:tcBorders>
            <w:noWrap/>
            <w:vAlign w:val="center"/>
          </w:tcPr>
          <w:p w14:paraId="477179E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725522E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小火车两辆</w:t>
            </w:r>
          </w:p>
        </w:tc>
        <w:tc>
          <w:tcPr>
            <w:tcW w:w="736" w:type="pct"/>
            <w:tcBorders>
              <w:top w:val="single" w:color="000000" w:sz="4" w:space="0"/>
              <w:left w:val="single" w:color="000000" w:sz="4" w:space="0"/>
              <w:bottom w:val="single" w:color="000000" w:sz="4" w:space="0"/>
              <w:right w:val="single" w:color="000000" w:sz="4" w:space="0"/>
            </w:tcBorders>
            <w:noWrap/>
            <w:vAlign w:val="center"/>
          </w:tcPr>
          <w:p w14:paraId="2998D825">
            <w:pPr>
              <w:widowControl/>
              <w:jc w:val="center"/>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rPr>
              <w:t>金辉游乐定制</w:t>
            </w:r>
          </w:p>
        </w:tc>
        <w:tc>
          <w:tcPr>
            <w:tcW w:w="2215" w:type="pct"/>
            <w:tcBorders>
              <w:top w:val="single" w:color="000000" w:sz="4" w:space="0"/>
              <w:left w:val="single" w:color="000000" w:sz="4" w:space="0"/>
              <w:bottom w:val="single" w:color="000000" w:sz="4" w:space="0"/>
              <w:right w:val="single" w:color="000000" w:sz="4" w:space="0"/>
            </w:tcBorders>
            <w:vAlign w:val="center"/>
          </w:tcPr>
          <w:p w14:paraId="6B3BD1C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1.一拖四小火车</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2.小火车参数:车头尺寸：3.4*1.2*2.15m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车厢尺寸：1.6*1.0*2.1m</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xml:space="preserve">续航：100km </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 xml:space="preserve">轮胎：真空胎 </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蓄电池：12V150A5块</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无级变速</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乘员：6人/车（含儿童）</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车身：钢制车架+玻璃钢外壳</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配套：火车头1节+客车4节、总长大于10米，需配备后视镜、充电器、仿真烟功能、电压表仪表盘</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1C997B2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辆</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EC4B27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r>
    </w:tbl>
    <w:p w14:paraId="4E4895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F071A"/>
    <w:multiLevelType w:val="singleLevel"/>
    <w:tmpl w:val="0D1F071A"/>
    <w:lvl w:ilvl="0" w:tentative="0">
      <w:start w:val="2"/>
      <w:numFmt w:val="chineseCounting"/>
      <w:suff w:val="nothing"/>
      <w:lvlText w:val="%1、"/>
      <w:lvlJc w:val="left"/>
      <w:rPr>
        <w:rFonts w:hint="eastAsia"/>
      </w:rPr>
    </w:lvl>
  </w:abstractNum>
  <w:abstractNum w:abstractNumId="1">
    <w:nsid w:val="4A030C16"/>
    <w:multiLevelType w:val="singleLevel"/>
    <w:tmpl w:val="4A030C16"/>
    <w:lvl w:ilvl="0" w:tentative="0">
      <w:start w:val="1"/>
      <w:numFmt w:val="decimal"/>
      <w:suff w:val="nothing"/>
      <w:lvlText w:val="%1、"/>
      <w:lvlJc w:val="left"/>
    </w:lvl>
  </w:abstractNum>
  <w:abstractNum w:abstractNumId="2">
    <w:nsid w:val="673C533F"/>
    <w:multiLevelType w:val="singleLevel"/>
    <w:tmpl w:val="673C533F"/>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57694"/>
    <w:rsid w:val="413F7AF4"/>
    <w:rsid w:val="7AE8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1"/>
    <w:rPr>
      <w:sz w:val="28"/>
      <w:szCs w:val="28"/>
    </w:rPr>
  </w:style>
  <w:style w:type="paragraph" w:styleId="4">
    <w:name w:val="Plain Text"/>
    <w:basedOn w:val="1"/>
    <w:next w:val="3"/>
    <w:qFormat/>
    <w:uiPriority w:val="0"/>
    <w:rPr>
      <w:rFonts w:ascii="宋体" w:hAnsi="宋体" w:eastAsia="仿宋"/>
    </w:r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Default"/>
    <w:basedOn w:val="4"/>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6550</Words>
  <Characters>7061</Characters>
  <Lines>0</Lines>
  <Paragraphs>0</Paragraphs>
  <TotalTime>6</TotalTime>
  <ScaleCrop>false</ScaleCrop>
  <LinksUpToDate>false</LinksUpToDate>
  <CharactersWithSpaces>7398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2025-11-12T08:02:00Z</dcterms:created>
  <dc:creator>Administrator</dc:creator>
  <cp:lastModifiedBy>郭念東</cp:lastModifiedBy>
  <dcterms:modified xsi:type="dcterms:W3CDTF">2025-12-29T08:39:10Z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eyJoZGlkIjoiNzliYWNkOGZmODQwMTYxNzM1OTEwOWMxMzY5NDI3Y2UiLCJ1c2VySWQiOiI3NTUxNjg5NzEifQ==</vt:lpwstr>
  </property>
  <property fmtid="{D5CDD505-2E9C-101B-9397-08002B2CF9AE}" pid="4" name="ICV">
    <vt:lpwstr>62A4C96F7AB849F583D2AD2C5555436E_12</vt:lpwstr>
  </property>
</Properties>
</file>