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spacing w:line="560" w:lineRule="exac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银沙滩便民餐饮项目</w:t>
      </w:r>
      <w:r>
        <w:rPr>
          <w:rFonts w:hint="eastAsia" w:ascii="方正小标宋简体" w:hAnsi="方正小标宋简体" w:eastAsia="方正小标宋简体" w:cs="方正小标宋简体"/>
          <w:sz w:val="44"/>
          <w:szCs w:val="44"/>
        </w:rPr>
        <w:t>经营权情况说明</w:t>
      </w:r>
    </w:p>
    <w:p w14:paraId="76A915A6">
      <w:pPr>
        <w:spacing w:line="560" w:lineRule="exact"/>
        <w:ind w:firstLine="320" w:firstLineChars="100"/>
        <w:jc w:val="left"/>
        <w:rPr>
          <w:rFonts w:hint="eastAsia" w:ascii="黑体" w:hAnsi="黑体" w:eastAsia="黑体" w:cs="黑体"/>
          <w:sz w:val="32"/>
          <w:szCs w:val="32"/>
        </w:rPr>
      </w:pPr>
    </w:p>
    <w:p w14:paraId="0DD87406">
      <w:pPr>
        <w:numPr>
          <w:ilvl w:val="0"/>
          <w:numId w:val="0"/>
        </w:numPr>
        <w:spacing w:line="560" w:lineRule="exact"/>
        <w:ind w:firstLine="640" w:firstLineChars="200"/>
        <w:jc w:val="left"/>
        <w:rPr>
          <w:rFonts w:hint="default" w:ascii="黑体" w:hAnsi="黑体" w:eastAsia="黑体" w:cs="黑体"/>
          <w:sz w:val="32"/>
          <w:szCs w:val="32"/>
          <w:lang w:val="en-US"/>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概况及</w:t>
      </w:r>
      <w:r>
        <w:rPr>
          <w:rFonts w:hint="eastAsia" w:ascii="黑体" w:hAnsi="黑体" w:eastAsia="黑体" w:cs="黑体"/>
          <w:sz w:val="32"/>
          <w:szCs w:val="32"/>
          <w:lang w:val="en-US" w:eastAsia="zh-CN"/>
        </w:rPr>
        <w:t>经营权期限</w:t>
      </w:r>
    </w:p>
    <w:p w14:paraId="58E6C39D">
      <w:pPr>
        <w:numPr>
          <w:ilvl w:val="0"/>
          <w:numId w:val="0"/>
        </w:numPr>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位于</w:t>
      </w:r>
      <w:r>
        <w:rPr>
          <w:rFonts w:hint="eastAsia" w:ascii="仿宋_GB2312" w:hAnsi="仿宋" w:eastAsia="仿宋_GB2312" w:cs="楷体_GB2312"/>
          <w:sz w:val="32"/>
          <w:szCs w:val="32"/>
          <w:lang w:val="en-US" w:eastAsia="zh-CN"/>
        </w:rPr>
        <w:t>银沙滩北侧草坪及银沙滩内</w:t>
      </w:r>
      <w:r>
        <w:rPr>
          <w:rFonts w:hint="default" w:ascii="Times New Roman" w:hAnsi="Times New Roman" w:eastAsia="仿宋_GB2312" w:cs="Times New Roman"/>
          <w:kern w:val="2"/>
          <w:sz w:val="32"/>
          <w:szCs w:val="32"/>
          <w:lang w:val="en-US" w:eastAsia="zh-CN" w:bidi="ar-SA"/>
        </w:rPr>
        <w:t>，</w:t>
      </w:r>
      <w:r>
        <w:rPr>
          <w:rFonts w:hint="eastAsia" w:ascii="仿宋_GB2312" w:hAnsi="仿宋" w:eastAsia="仿宋_GB2312" w:cs="楷体_GB2312"/>
          <w:sz w:val="32"/>
          <w:szCs w:val="32"/>
          <w:lang w:val="en-US" w:eastAsia="zh-CN"/>
        </w:rPr>
        <w:t>草坪内面积550平方米，银沙滩内面积440平方米</w:t>
      </w:r>
      <w:r>
        <w:rPr>
          <w:rFonts w:hint="eastAsia" w:ascii="Times New Roman" w:hAnsi="Times New Roman" w:eastAsia="仿宋_GB2312" w:cs="Times New Roman"/>
          <w:kern w:val="2"/>
          <w:sz w:val="32"/>
          <w:szCs w:val="32"/>
          <w:lang w:val="en-US" w:eastAsia="zh-CN" w:bidi="ar-SA"/>
        </w:rPr>
        <w:t>，</w:t>
      </w:r>
      <w:r>
        <w:rPr>
          <w:rFonts w:hint="eastAsia" w:ascii="仿宋_GB2312" w:hAnsi="仿宋" w:eastAsia="仿宋_GB2312" w:cs="楷体_GB2312"/>
          <w:sz w:val="32"/>
          <w:szCs w:val="32"/>
          <w:lang w:val="en-US" w:eastAsia="zh-CN"/>
        </w:rPr>
        <w:t>该项目需承包人根据</w:t>
      </w:r>
      <w:r>
        <w:rPr>
          <w:rFonts w:hint="eastAsia" w:ascii="Times New Roman" w:hAnsi="Times New Roman" w:eastAsia="仿宋_GB2312"/>
          <w:color w:val="auto"/>
          <w:sz w:val="32"/>
          <w:szCs w:val="32"/>
          <w:lang w:val="en-US" w:eastAsia="zh-CN"/>
        </w:rPr>
        <w:t>品牌策划公司建议及最终设计方案由承租人进行建设运营。</w:t>
      </w:r>
      <w:r>
        <w:rPr>
          <w:rFonts w:hint="default" w:ascii="Times New Roman" w:hAnsi="Times New Roman" w:eastAsia="仿宋_GB2312" w:cs="Times New Roman"/>
          <w:kern w:val="2"/>
          <w:sz w:val="32"/>
          <w:szCs w:val="32"/>
          <w:lang w:val="en-US" w:eastAsia="zh-CN" w:bidi="ar-SA"/>
        </w:rPr>
        <w:t>经营权期限为</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w:t>
      </w:r>
    </w:p>
    <w:p w14:paraId="408E15CF">
      <w:pPr>
        <w:numPr>
          <w:ilvl w:val="0"/>
          <w:numId w:val="1"/>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承包人应具备的基本条件及要求</w:t>
      </w:r>
    </w:p>
    <w:p w14:paraId="308582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1、承租人为境内外企业法人、具有独立承担民事责任能力的其他组织和具有完全民事行为能力的自然人。</w:t>
      </w:r>
    </w:p>
    <w:p w14:paraId="28FD41B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2、经营要求承租人必须合法、文明经营，自负盈亏，承担经营过程中发生的一切税费及相关责任。</w:t>
      </w:r>
    </w:p>
    <w:p w14:paraId="069909D1">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3、承租人对竞得的标的只有经营权，所有权与处置权属于开封西湖文旅投资有限公司。</w:t>
      </w:r>
    </w:p>
    <w:p w14:paraId="7BAC2CD4">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4、承包人需根据发包人招标的第三方设计单位确定的设计及装修方案自行建设（包括但不限于主体房屋建设、主体房屋内外装饰装修，室外设施建设布置、经营区域用电用水电等），承包人对其自行建设的所有建筑、设施等的质量、安全等负全部责任。</w:t>
      </w:r>
    </w:p>
    <w:p w14:paraId="32CF087B">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5、承包人自行负责水电管线连接及餐饮经营等全流程工作，食材采购验收与合规储存、餐饮操作间及室外平台用餐区清洁（餐饮设备日常维护与检修，确保餐饮项目合规安全运营。同时，需配备专业的餐饮操作人员与服务人员，操作人员严格遵循食品安全操作规范开展食材加工制作，服务人员提供热情周到的用餐引导与服务，全方位保障游客的用餐安全与优质体验，避免因操作不当、服务疏漏或设备故障影响项目运营及游客权益）。</w:t>
      </w:r>
    </w:p>
    <w:p w14:paraId="0AAFFE36">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6、安全管理要求承租人需建立完善的安全管理制度，确保该项目的安全运行。具体要求如下：</w:t>
      </w:r>
    </w:p>
    <w:p w14:paraId="1698F382">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 主体及室外设施完成时需经正规专业机构进行验收，提供验收合格证后方可运营。每日营业前需对餐饮经营区域进行全面检查，重点排查燃气管道及阀门密封性、电路线路及用电设备安全性、消防器材完好性，同时检查用餐区域地面防滑情况、桌椅稳固性，确保游客无燃气泄漏、触电、滑倒摔伤等风险。</w:t>
      </w:r>
    </w:p>
    <w:p w14:paraId="4035F6D0">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 配备专业的安全管理人员明确其岗位职责，负责现场食品安全监督、消防安全巡查、游客安全引导及应急处理，一旦发生食材变质、设备故障、游客突发意外等情况，需第一时间启动应急方案并妥善处置。</w:t>
      </w:r>
    </w:p>
    <w:p w14:paraId="36451CFF">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 承包人需为该餐饮项目购买足额的商业保险，保险范围需涵盖公众责任险、食品安全责任险及从业人员意外险，保障各方权益。</w:t>
      </w:r>
    </w:p>
    <w:p w14:paraId="02D2C88A">
      <w:pPr>
        <w:numPr>
          <w:ilvl w:val="0"/>
          <w:numId w:val="0"/>
        </w:numPr>
        <w:spacing w:line="560" w:lineRule="exact"/>
        <w:ind w:firstLine="640" w:firstLineChars="200"/>
        <w:jc w:val="left"/>
        <w:rPr>
          <w:rFonts w:hint="eastAsia" w:ascii="仿宋_GB2312" w:hAnsi="仿宋" w:eastAsia="仿宋_GB2312" w:cs="楷体_GB2312"/>
          <w:sz w:val="32"/>
          <w:szCs w:val="32"/>
          <w:lang w:val="en-US" w:eastAsia="zh-CN"/>
        </w:rPr>
      </w:pPr>
      <w:r>
        <w:rPr>
          <w:rFonts w:hint="eastAsia" w:ascii="仿宋_GB2312" w:hAnsi="仿宋" w:eastAsia="仿宋_GB2312" w:cs="楷体_GB2312"/>
          <w:sz w:val="32"/>
          <w:szCs w:val="32"/>
          <w:lang w:val="en-US" w:eastAsia="zh-CN"/>
        </w:rPr>
        <w:t>• 在餐饮经营区域设置明显的安全警示标识，内容需包含食品安全提示、消防安全提示、人身安全提示等，标识设计需清晰醒目、易于识别。</w:t>
      </w:r>
    </w:p>
    <w:p w14:paraId="1DC91FC0">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hAnsi="仿宋" w:eastAsia="仿宋_GB2312" w:cs="楷体_GB2312"/>
          <w:sz w:val="32"/>
          <w:szCs w:val="32"/>
          <w:lang w:val="en-US" w:eastAsia="zh-CN"/>
        </w:rPr>
        <w:t>• 定</w:t>
      </w:r>
      <w:r>
        <w:rPr>
          <w:rFonts w:hint="eastAsia" w:ascii="Times New Roman" w:hAnsi="Times New Roman" w:eastAsia="仿宋_GB2312" w:cs="Times New Roman"/>
          <w:sz w:val="32"/>
          <w:szCs w:val="32"/>
          <w:lang w:val="en-US" w:eastAsia="zh-CN"/>
        </w:rPr>
        <w:t>期对现场管理人员及从业人员进行安全培训，培训内容需包括消防安全及餐饮食品安全等操作规范。</w:t>
      </w:r>
    </w:p>
    <w:p w14:paraId="09D3674F">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5、承包人的经营业态需上报西湖公司审核通过，方可进行入场装修，承包人经营权承包期限满 5 年或合同提前终止时，项目建筑主体及地面附着物（不可移动资产）经第三方资产评估机构及第三方建筑工程检测鉴定机构（评估机构及建筑工程检测鉴定机构选取按照甲方公司相关规定）评估后，发包方有权按照评估价对项目建筑主体及地面附着物（不可移动资产）进行收购，但最高不超过承包人原始投资总额扣除已使用年限按直线法计算的折旧后的余额，如发包人不予收购，承包人须在合同结束后120日内无条件拆除项目建筑主体及地面附着物（不可移动资产）并将场地恢复原状，逾期发包方将自行处置，所产生费用由发包方从承包人所缴纳履约保证金中扣除，不足部分由承包人承担。</w:t>
      </w:r>
    </w:p>
    <w:p w14:paraId="20A09297">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6、承包人自“拍卖成交确认书”签订之日起20个工作日内与发包方签订合同。签订经营权承包合同前，承包人需交纳履约保证金3</w:t>
      </w:r>
      <w:bookmarkStart w:id="0" w:name="_GoBack"/>
      <w:bookmarkEnd w:id="0"/>
      <w:r>
        <w:rPr>
          <w:rFonts w:hint="eastAsia" w:ascii="Times New Roman" w:hAnsi="Times New Roman" w:eastAsia="仿宋_GB2312" w:cs="Times New Roman"/>
          <w:sz w:val="32"/>
          <w:szCs w:val="32"/>
          <w:lang w:val="en-US" w:eastAsia="zh-CN"/>
        </w:rPr>
        <w:t>万元。该履约保证金在合同终止或解除后</w:t>
      </w:r>
      <w:r>
        <w:rPr>
          <w:rFonts w:hint="default" w:ascii="Times New Roman" w:hAnsi="Times New Roman" w:eastAsia="仿宋_GB2312" w:cs="Times New Roman"/>
          <w:sz w:val="32"/>
          <w:szCs w:val="32"/>
          <w:lang w:val="en-US" w:eastAsia="zh-CN"/>
        </w:rPr>
        <w:t>，自乙方按照甲方的要求交付场地完毕之日起7日内，</w:t>
      </w:r>
      <w:r>
        <w:rPr>
          <w:rFonts w:hint="eastAsia" w:ascii="Times New Roman" w:hAnsi="Times New Roman" w:eastAsia="仿宋_GB2312" w:cs="Times New Roman"/>
          <w:sz w:val="32"/>
          <w:szCs w:val="32"/>
          <w:lang w:val="en-US" w:eastAsia="zh-CN"/>
        </w:rPr>
        <w:t>由发包方无息退还乙方，但承包人方因欠交相关费用及违约被扣除部分除外。</w:t>
      </w:r>
    </w:p>
    <w:p w14:paraId="320AB6B5">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人需在经营期间遵守</w:t>
      </w:r>
      <w:r>
        <w:rPr>
          <w:rFonts w:hint="eastAsia" w:ascii="Times New Roman" w:hAnsi="Times New Roman" w:eastAsia="仿宋_GB2312" w:cs="Times New Roman"/>
          <w:sz w:val="32"/>
          <w:szCs w:val="32"/>
          <w:lang w:val="en-US" w:eastAsia="zh-CN"/>
        </w:rPr>
        <w:t>库区</w:t>
      </w:r>
      <w:r>
        <w:rPr>
          <w:rFonts w:hint="default" w:ascii="Times New Roman" w:hAnsi="Times New Roman" w:eastAsia="仿宋_GB2312" w:cs="Times New Roman"/>
          <w:sz w:val="32"/>
          <w:szCs w:val="32"/>
          <w:lang w:val="en-US" w:eastAsia="zh-CN"/>
        </w:rPr>
        <w:t>的统一管理，不得从事任何违法违规活动。需做好游客的安全引导工作，确保游客的人身安全，并保持经营区域的环境卫生，不得对周边环境造成污染或破坏。承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人需在规定的运营区域内经营，不得超出划定范围。</w:t>
      </w:r>
    </w:p>
    <w:p w14:paraId="4B32A20B">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p>
    <w:p w14:paraId="18E67F74">
      <w:pPr>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开封西湖文旅投资有限公司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BE8E4D-5202-4BD7-8606-4893FD0B65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FBFE7488-D15B-4473-BCF0-5004F364AB10}"/>
  </w:font>
  <w:font w:name="仿宋_GB2312">
    <w:panose1 w:val="02010609030101010101"/>
    <w:charset w:val="86"/>
    <w:family w:val="modern"/>
    <w:pitch w:val="default"/>
    <w:sig w:usb0="00000001" w:usb1="080E0000" w:usb2="00000000" w:usb3="00000000" w:csb0="00040000" w:csb1="00000000"/>
    <w:embedRegular r:id="rId3" w:fontKey="{B61D4E11-A592-4B9B-B292-AD2B93087158}"/>
  </w:font>
  <w:font w:name="仿宋">
    <w:panose1 w:val="02010609060101010101"/>
    <w:charset w:val="86"/>
    <w:family w:val="auto"/>
    <w:pitch w:val="default"/>
    <w:sig w:usb0="800002BF" w:usb1="38CF7CFA" w:usb2="00000016" w:usb3="00000000" w:csb0="00040001" w:csb1="00000000"/>
    <w:embedRegular r:id="rId4" w:fontKey="{F4ADB7C8-751E-4BA6-A407-3C5ED0409000}"/>
  </w:font>
  <w:font w:name="楷体_GB2312">
    <w:altName w:val="楷体"/>
    <w:panose1 w:val="02010609030101010101"/>
    <w:charset w:val="86"/>
    <w:family w:val="modern"/>
    <w:pitch w:val="default"/>
    <w:sig w:usb0="00000000" w:usb1="00000000" w:usb2="00000010" w:usb3="00000000" w:csb0="00040000" w:csb1="00000000"/>
    <w:embedRegular r:id="rId5" w:fontKey="{E10D9F0C-4F3E-4C36-BBA4-26942EA65949}"/>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7B81938"/>
    <w:rsid w:val="0E391CA5"/>
    <w:rsid w:val="18E1119B"/>
    <w:rsid w:val="1BC66679"/>
    <w:rsid w:val="1EAC3A26"/>
    <w:rsid w:val="21C84271"/>
    <w:rsid w:val="248D7A7E"/>
    <w:rsid w:val="27134BF4"/>
    <w:rsid w:val="28213455"/>
    <w:rsid w:val="2AE20E8A"/>
    <w:rsid w:val="2D8D5C78"/>
    <w:rsid w:val="30183CD8"/>
    <w:rsid w:val="31351FE3"/>
    <w:rsid w:val="33144E8D"/>
    <w:rsid w:val="34FA0BAE"/>
    <w:rsid w:val="365E52F3"/>
    <w:rsid w:val="36B260C9"/>
    <w:rsid w:val="39FD105C"/>
    <w:rsid w:val="3E2C3283"/>
    <w:rsid w:val="43357A4B"/>
    <w:rsid w:val="44A4522B"/>
    <w:rsid w:val="4A6D3958"/>
    <w:rsid w:val="4C854292"/>
    <w:rsid w:val="51BA5383"/>
    <w:rsid w:val="532A6DFE"/>
    <w:rsid w:val="53E24532"/>
    <w:rsid w:val="56E60023"/>
    <w:rsid w:val="5AAA72D0"/>
    <w:rsid w:val="5C9A677B"/>
    <w:rsid w:val="5D962FCE"/>
    <w:rsid w:val="5FC30E70"/>
    <w:rsid w:val="5FEB52AB"/>
    <w:rsid w:val="602B62C6"/>
    <w:rsid w:val="662E109F"/>
    <w:rsid w:val="6D6C124D"/>
    <w:rsid w:val="6DA14AE4"/>
    <w:rsid w:val="6DBD193A"/>
    <w:rsid w:val="703822DD"/>
    <w:rsid w:val="71877260"/>
    <w:rsid w:val="71FD0F31"/>
    <w:rsid w:val="767B5247"/>
    <w:rsid w:val="77012118"/>
    <w:rsid w:val="775758DC"/>
    <w:rsid w:val="776C2CCB"/>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1553</Words>
  <Characters>1560</Characters>
  <Lines>0</Lines>
  <Paragraphs>0</Paragraphs>
  <TotalTime>91</TotalTime>
  <ScaleCrop>false</ScaleCrop>
  <LinksUpToDate>false</LinksUpToDate>
  <CharactersWithSpaces>1592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孙中梁</cp:lastModifiedBy>
  <dcterms:modified xsi:type="dcterms:W3CDTF">2025-11-25T01:16:47Z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F3396031CC0C4AC2829CFCBB24E7AE78_13</vt:lpwstr>
  </property>
  <property fmtid="{D5CDD505-2E9C-101B-9397-08002B2CF9AE}" pid="4" name="KSOTemplateDocerSaveRecord">
    <vt:lpwstr>eyJoZGlkIjoiNWVkOTU2N2MxY2JmNjI0MzlmMjE4MzVhMDljMTQzN2YiLCJ1c2VySWQiOiIzNTcwMTY5NjQifQ==</vt:lpwstr>
  </property>
</Properties>
</file>