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524BA">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银沙滩钢结构房一层</w:t>
      </w:r>
      <w:r>
        <w:rPr>
          <w:rFonts w:hint="eastAsia" w:ascii="仿宋_GB2312" w:hAnsi="仿宋_GB2312" w:eastAsia="仿宋_GB2312" w:cs="仿宋_GB2312"/>
          <w:sz w:val="28"/>
          <w:szCs w:val="28"/>
          <w:lang w:val="en-US" w:eastAsia="zh-CN"/>
        </w:rPr>
        <w:t>西侧</w:t>
      </w:r>
      <w:r>
        <w:rPr>
          <w:rFonts w:hint="eastAsia" w:ascii="仿宋_GB2312" w:hAnsi="仿宋_GB2312" w:eastAsia="仿宋_GB2312" w:cs="仿宋_GB2312"/>
          <w:sz w:val="28"/>
          <w:szCs w:val="28"/>
        </w:rPr>
        <w:t>便民服务配套用房</w:t>
      </w:r>
    </w:p>
    <w:p w14:paraId="4FDD723D">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经营权情况说明</w:t>
      </w:r>
    </w:p>
    <w:p w14:paraId="5AD3649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仿宋_GB2312" w:hAnsi="仿宋_GB2312" w:eastAsia="仿宋_GB2312" w:cs="仿宋_GB2312"/>
          <w:sz w:val="24"/>
          <w:szCs w:val="24"/>
        </w:rPr>
      </w:pPr>
    </w:p>
    <w:p w14:paraId="3EA4816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SA"/>
        </w:rPr>
        <w:t>一、</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概况及</w:t>
      </w:r>
      <w:r>
        <w:rPr>
          <w:rFonts w:hint="eastAsia" w:ascii="仿宋_GB2312" w:hAnsi="仿宋_GB2312" w:eastAsia="仿宋_GB2312" w:cs="仿宋_GB2312"/>
          <w:sz w:val="24"/>
          <w:szCs w:val="24"/>
          <w:lang w:val="en-US" w:eastAsia="zh-CN"/>
        </w:rPr>
        <w:t>经营权期限</w:t>
      </w:r>
    </w:p>
    <w:p w14:paraId="6E7CEAD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项目位于银沙滩钢结构房一层西侧便民服务配套用房，面积约为65.3㎡，仅限用于餐饮经营，经营权期限为5年。</w:t>
      </w:r>
    </w:p>
    <w:p w14:paraId="4DB27900">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承包人应具备的基本条件及要求</w:t>
      </w:r>
    </w:p>
    <w:p w14:paraId="448D21C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1、承租人为境内外企业法人、具有独立承担民事责任能力的其他组织和具有完全民事行为能力的自然人。</w:t>
      </w:r>
    </w:p>
    <w:p w14:paraId="0F9BBB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2、经营要求承租人必须合法、文明经营，自负盈亏，承担经营过程中发生的一切税费及相关责任。</w:t>
      </w:r>
    </w:p>
    <w:p w14:paraId="171E2B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承租人对竞得的标的只有经营权，所有权与处置权属于开封西湖文旅投资有限公司。承包人需自行负责餐饮经营全流程关键工作，包括食材采购验收与合规储存、经营区域用电管理、餐饮操作间及室外平台用餐区清洁、餐饮设备日常维护与检修，确保餐饮项目合规安全运营。同时，需配备专业的餐饮操作人员与服务人员，操作人员严格遵循食品安全操作规范开展食材加工制作，服务人员提供热情周到的用餐引导与服务，全方位保障游客的用餐安全与优质体验，避免因操作不当、服务疏漏或设备故障影响项目运营及游客权益。</w:t>
      </w:r>
    </w:p>
    <w:p w14:paraId="70F6D2C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4、安全管理要求承租人需建立完善的安全管理制度，确保该项目的安全运行。具体要求如下：</w:t>
      </w:r>
    </w:p>
    <w:p w14:paraId="250551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每日营业前需对餐饮经营区域进行全面检查，重点排查燃气管道及阀门密封性、电路线路及用电设备安全性、消防器材完好性，同时检查用餐区域地面防滑情况、桌椅稳固性，确保游客无燃气泄漏、触电、滑倒摔伤等风险。</w:t>
      </w:r>
    </w:p>
    <w:p w14:paraId="7B22F9F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配备专业的安全管理人员明确其岗位职责，负责现场食品安全监督、消防安全巡查、游客安全引导及应急处理，一旦发生食材变质、设备故障、游客突发意外等情况，需第一时间启动应急方案并妥善处置。</w:t>
      </w:r>
    </w:p>
    <w:p w14:paraId="72D37C6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承包人需为该餐饮项目购买足额的商业保险，保险范围需涵盖公众责任险、食品安全责任险及从业人员意外险，保障各方权益。</w:t>
      </w:r>
    </w:p>
    <w:p w14:paraId="1755456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在餐饮经营区域设置明显的安全警示标识，内容需包含食品安全提示、消防安全提示、人身安全提示等，标识设计需清晰醒目、易于识别。</w:t>
      </w:r>
    </w:p>
    <w:p w14:paraId="73D1B3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定期对现场管理人员及从业人员进行安全培训，培训内容需包括餐饮食品安全操作规范。</w:t>
      </w:r>
    </w:p>
    <w:p w14:paraId="09D367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5、承包人</w:t>
      </w:r>
      <w:r>
        <w:rPr>
          <w:rFonts w:hint="eastAsia" w:ascii="仿宋_GB2312" w:hAnsi="仿宋_GB2312" w:eastAsia="仿宋_GB2312" w:cs="仿宋_GB2312"/>
          <w:sz w:val="24"/>
          <w:szCs w:val="24"/>
        </w:rPr>
        <w:t>的经营业态及</w:t>
      </w:r>
      <w:r>
        <w:rPr>
          <w:rFonts w:hint="eastAsia" w:ascii="仿宋_GB2312" w:hAnsi="仿宋_GB2312" w:eastAsia="仿宋_GB2312" w:cs="仿宋_GB2312"/>
          <w:sz w:val="24"/>
          <w:szCs w:val="24"/>
          <w:lang w:val="en-US" w:eastAsia="zh-CN"/>
        </w:rPr>
        <w:t>装饰装修方案</w:t>
      </w:r>
      <w:r>
        <w:rPr>
          <w:rFonts w:hint="eastAsia" w:ascii="仿宋_GB2312" w:hAnsi="仿宋_GB2312" w:eastAsia="仿宋_GB2312" w:cs="仿宋_GB2312"/>
          <w:sz w:val="24"/>
          <w:szCs w:val="24"/>
        </w:rPr>
        <w:t>，需上报西湖公司审核通过，</w:t>
      </w:r>
      <w:r>
        <w:rPr>
          <w:rFonts w:hint="eastAsia" w:ascii="仿宋_GB2312" w:hAnsi="仿宋_GB2312" w:eastAsia="仿宋_GB2312" w:cs="仿宋_GB2312"/>
          <w:sz w:val="24"/>
          <w:szCs w:val="24"/>
          <w:lang w:val="en-US" w:eastAsia="zh-CN"/>
        </w:rPr>
        <w:t>方可进行入场装修。</w:t>
      </w:r>
    </w:p>
    <w:p w14:paraId="431A6E6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6、</w:t>
      </w:r>
      <w:r>
        <w:rPr>
          <w:rFonts w:hint="eastAsia" w:ascii="仿宋_GB2312" w:hAnsi="仿宋_GB2312" w:eastAsia="仿宋_GB2312" w:cs="仿宋_GB2312"/>
          <w:sz w:val="24"/>
          <w:szCs w:val="24"/>
          <w:lang w:val="en-US" w:eastAsia="zh-CN"/>
        </w:rPr>
        <w:t>承包人自“拍卖成交确认书”签订之日起20个工作日内与发包方签订合同。签订经营权承包合同前，承包人需交纳履约保证金1.5万元。该履约保证金在合同终止或解除后，自乙方按照甲方的要求交付场地完毕之日起7日内，由甲方无息退还乙方，但乙方因欠交相关费用及违约被扣除部分除外。</w:t>
      </w:r>
    </w:p>
    <w:p w14:paraId="5A6736D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7、</w:t>
      </w:r>
      <w:r>
        <w:rPr>
          <w:rFonts w:hint="eastAsia" w:ascii="仿宋_GB2312" w:hAnsi="仿宋_GB2312" w:eastAsia="仿宋_GB2312" w:cs="仿宋_GB2312"/>
          <w:sz w:val="24"/>
          <w:szCs w:val="24"/>
          <w:lang w:val="en-US" w:eastAsia="zh-CN"/>
        </w:rPr>
        <w:t>承包人需在经营期间遵守库区的统一管理，不得从事任何违法违规活动。需做好游客的安全引导工作，确保游客的人身安全，并保持经营区域的环境卫生，不得对周边环境造成污染或破坏。承包人需在规定的运营区域内经营，不得超出划定范围。</w:t>
      </w:r>
    </w:p>
    <w:p w14:paraId="759747A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1D962AC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055C961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0DAD6DC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320AB6B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4B32A20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28647D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1D037AB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171F524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2D690F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0D3ADFC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733691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5F435F0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66CD182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2F7FAE9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5521037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4B4A19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7E70419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15573EC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62B5A8F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val="en-US" w:eastAsia="zh-CN"/>
        </w:rPr>
      </w:pPr>
    </w:p>
    <w:p w14:paraId="4A19FB2A">
      <w:pPr>
        <w:ind w:firstLine="420" w:firstLineChars="0"/>
        <w:rPr>
          <w:rFonts w:hint="eastAsia" w:ascii="仿宋_GB2312" w:hAnsi="仿宋_GB2312" w:eastAsia="仿宋_GB2312" w:cs="仿宋_GB2312"/>
          <w:sz w:val="21"/>
          <w:szCs w:val="21"/>
          <w:highlight w:val="none"/>
        </w:rPr>
      </w:pPr>
    </w:p>
    <w:p w14:paraId="794AA550">
      <w:pPr>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注：最终以正式签订合同为准</w:t>
      </w:r>
    </w:p>
    <w:p w14:paraId="54588DA1">
      <w:pPr>
        <w:jc w:val="left"/>
        <w:rPr>
          <w:rFonts w:hint="eastAsia" w:ascii="仿宋_GB2312" w:hAnsi="仿宋_GB2312" w:eastAsia="仿宋_GB2312" w:cs="仿宋_GB2312"/>
          <w:sz w:val="21"/>
          <w:szCs w:val="21"/>
          <w:highlight w:val="none"/>
        </w:rPr>
      </w:pPr>
    </w:p>
    <w:p w14:paraId="17E548FE">
      <w:pPr>
        <w:keepNext w:val="0"/>
        <w:keepLines w:val="0"/>
        <w:pageBreakBefore w:val="0"/>
        <w:widowControl w:val="0"/>
        <w:kinsoku/>
        <w:wordWrap/>
        <w:overflowPunct/>
        <w:topLinePunct w:val="0"/>
        <w:bidi w:val="0"/>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lang w:val="en-US" w:eastAsia="zh-CN"/>
        </w:rPr>
        <w:t>银沙滩钢结构房一层西侧便民服务配套</w:t>
      </w:r>
      <w:r>
        <w:rPr>
          <w:rFonts w:hint="eastAsia" w:ascii="仿宋_GB2312" w:hAnsi="仿宋_GB2312" w:eastAsia="仿宋_GB2312" w:cs="仿宋_GB2312"/>
          <w:bCs/>
          <w:sz w:val="28"/>
          <w:szCs w:val="28"/>
          <w:lang w:val="en-US" w:eastAsia="zh-CN"/>
        </w:rPr>
        <w:br w:type="textWrapping"/>
      </w:r>
      <w:r>
        <w:rPr>
          <w:rFonts w:hint="eastAsia" w:ascii="仿宋_GB2312" w:hAnsi="仿宋_GB2312" w:eastAsia="仿宋_GB2312" w:cs="仿宋_GB2312"/>
          <w:bCs/>
          <w:sz w:val="28"/>
          <w:szCs w:val="28"/>
          <w:lang w:val="en-US" w:eastAsia="zh-CN"/>
        </w:rPr>
        <w:t>用房经营权承包协议</w:t>
      </w:r>
    </w:p>
    <w:p w14:paraId="735ADBA7">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7E168DA0">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甲方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出租方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u w:val="single"/>
        </w:rPr>
        <w:t>开封西湖文旅投资有限公司</w:t>
      </w:r>
    </w:p>
    <w:p w14:paraId="1CC193E1">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住址：</w:t>
      </w:r>
      <w:r>
        <w:rPr>
          <w:rFonts w:hint="eastAsia" w:ascii="仿宋_GB2312" w:hAnsi="仿宋_GB2312" w:eastAsia="仿宋_GB2312" w:cs="仿宋_GB2312"/>
          <w:sz w:val="24"/>
          <w:szCs w:val="24"/>
          <w:u w:val="single"/>
        </w:rPr>
        <w:t>河南自贸试验区开封片区汉兴西路与八大街交叉口</w:t>
      </w:r>
    </w:p>
    <w:p w14:paraId="1CB2E43A">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统一社会信用代码：</w:t>
      </w:r>
      <w:r>
        <w:rPr>
          <w:rFonts w:hint="eastAsia" w:ascii="仿宋_GB2312" w:hAnsi="仿宋_GB2312" w:eastAsia="仿宋_GB2312" w:cs="仿宋_GB2312"/>
          <w:sz w:val="24"/>
          <w:szCs w:val="24"/>
          <w:u w:val="single"/>
        </w:rPr>
        <w:t>914102003175043976</w:t>
      </w:r>
    </w:p>
    <w:p w14:paraId="6B4CD776">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乙方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承租方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p>
    <w:p w14:paraId="23EC97CD">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rPr>
        <w:t>住址：</w:t>
      </w:r>
    </w:p>
    <w:p w14:paraId="4A8257AF">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身份证号</w:t>
      </w:r>
      <w:r>
        <w:rPr>
          <w:rFonts w:hint="eastAsia" w:ascii="仿宋_GB2312" w:hAnsi="仿宋_GB2312" w:eastAsia="仿宋_GB2312" w:cs="仿宋_GB2312"/>
          <w:b/>
          <w:bCs/>
          <w:sz w:val="24"/>
          <w:szCs w:val="24"/>
        </w:rPr>
        <w:t>：</w:t>
      </w:r>
    </w:p>
    <w:p w14:paraId="5772533C">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手机号：</w:t>
      </w:r>
    </w:p>
    <w:p w14:paraId="5F78319A">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根据《中华人民共和国民法典》等相关法律、法规的规定，甲、乙双方在“平等互利、协商一致”的基础上，就乙方</w:t>
      </w:r>
      <w:r>
        <w:rPr>
          <w:rFonts w:hint="eastAsia" w:ascii="仿宋_GB2312" w:hAnsi="仿宋_GB2312" w:eastAsia="仿宋_GB2312" w:cs="仿宋_GB2312"/>
          <w:sz w:val="24"/>
          <w:szCs w:val="24"/>
          <w:lang w:val="en-US" w:eastAsia="zh-CN"/>
        </w:rPr>
        <w:t>承包</w:t>
      </w:r>
      <w:r>
        <w:rPr>
          <w:rFonts w:hint="eastAsia" w:ascii="仿宋_GB2312" w:hAnsi="仿宋_GB2312" w:eastAsia="仿宋_GB2312" w:cs="仿宋_GB2312"/>
          <w:sz w:val="24"/>
          <w:szCs w:val="24"/>
        </w:rPr>
        <w:t>甲方银沙滩</w:t>
      </w:r>
      <w:r>
        <w:rPr>
          <w:rFonts w:hint="eastAsia" w:ascii="仿宋_GB2312" w:hAnsi="仿宋_GB2312" w:eastAsia="仿宋_GB2312" w:cs="仿宋_GB2312"/>
          <w:sz w:val="24"/>
          <w:szCs w:val="24"/>
          <w:lang w:val="en-US" w:eastAsia="zh-CN"/>
        </w:rPr>
        <w:t>钢</w:t>
      </w:r>
      <w:r>
        <w:rPr>
          <w:rFonts w:hint="eastAsia" w:ascii="仿宋_GB2312" w:hAnsi="仿宋_GB2312" w:eastAsia="仿宋_GB2312" w:cs="仿宋_GB2312"/>
          <w:sz w:val="24"/>
          <w:szCs w:val="24"/>
        </w:rPr>
        <w:t>结构房一层</w:t>
      </w:r>
      <w:r>
        <w:rPr>
          <w:rFonts w:hint="eastAsia" w:ascii="仿宋_GB2312" w:hAnsi="仿宋_GB2312" w:eastAsia="仿宋_GB2312" w:cs="仿宋_GB2312"/>
          <w:sz w:val="24"/>
          <w:szCs w:val="24"/>
          <w:lang w:val="en-US" w:eastAsia="zh-CN"/>
        </w:rPr>
        <w:t>西侧</w:t>
      </w:r>
      <w:r>
        <w:rPr>
          <w:rFonts w:hint="eastAsia" w:ascii="仿宋_GB2312" w:hAnsi="仿宋_GB2312" w:eastAsia="仿宋_GB2312" w:cs="仿宋_GB2312"/>
          <w:sz w:val="24"/>
          <w:szCs w:val="24"/>
        </w:rPr>
        <w:t>便民服务配套用房</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经营权一事，为明确双方的权利、义务及相关事宜，特订立如下协议：</w:t>
      </w:r>
    </w:p>
    <w:p w14:paraId="6B04B001">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第一条：</w:t>
      </w:r>
      <w:r>
        <w:rPr>
          <w:rFonts w:hint="eastAsia" w:ascii="仿宋_GB2312" w:hAnsi="仿宋_GB2312" w:eastAsia="仿宋_GB2312" w:cs="仿宋_GB2312"/>
          <w:b/>
          <w:sz w:val="24"/>
          <w:szCs w:val="24"/>
          <w:lang w:val="en-US" w:eastAsia="zh-CN"/>
        </w:rPr>
        <w:t>项目概况及经营权期限</w:t>
      </w:r>
      <w:r>
        <w:rPr>
          <w:rFonts w:hint="eastAsia" w:ascii="仿宋_GB2312" w:hAnsi="仿宋_GB2312" w:eastAsia="仿宋_GB2312" w:cs="仿宋_GB2312"/>
          <w:b/>
          <w:sz w:val="24"/>
          <w:szCs w:val="24"/>
          <w:lang w:val="en-US" w:eastAsia="zh-CN"/>
        </w:rPr>
        <w:tab/>
      </w:r>
    </w:p>
    <w:p w14:paraId="3C6DAEE2">
      <w:pPr>
        <w:keepNext w:val="0"/>
        <w:keepLines w:val="0"/>
        <w:pageBreakBefore w:val="0"/>
        <w:widowControl w:val="0"/>
        <w:numPr>
          <w:ilvl w:val="0"/>
          <w:numId w:val="0"/>
        </w:numPr>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乙方承包甲方位于银沙滩钢结构房一层</w:t>
      </w:r>
      <w:r>
        <w:rPr>
          <w:rFonts w:hint="eastAsia" w:ascii="仿宋_GB2312" w:hAnsi="仿宋_GB2312" w:eastAsia="仿宋_GB2312" w:cs="仿宋_GB2312"/>
          <w:sz w:val="24"/>
          <w:szCs w:val="24"/>
          <w:lang w:val="en-US" w:eastAsia="zh-CN"/>
        </w:rPr>
        <w:t>西</w:t>
      </w:r>
      <w:r>
        <w:rPr>
          <w:rFonts w:hint="eastAsia" w:ascii="仿宋_GB2312" w:hAnsi="仿宋_GB2312" w:eastAsia="仿宋_GB2312" w:cs="仿宋_GB2312"/>
          <w:sz w:val="24"/>
          <w:szCs w:val="24"/>
        </w:rPr>
        <w:t>侧便民服务配套用房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用房面积为65.3㎡</w:t>
      </w:r>
      <w:r>
        <w:rPr>
          <w:rFonts w:hint="eastAsia" w:ascii="仿宋_GB2312" w:hAnsi="仿宋_GB2312" w:eastAsia="仿宋_GB2312" w:cs="仿宋_GB2312"/>
          <w:sz w:val="24"/>
          <w:szCs w:val="24"/>
        </w:rPr>
        <w:t>，可用于经营符合便民服务定位的餐饮项目</w:t>
      </w:r>
      <w:r>
        <w:rPr>
          <w:rFonts w:hint="eastAsia" w:ascii="仿宋_GB2312" w:hAnsi="仿宋_GB2312" w:eastAsia="仿宋_GB2312" w:cs="仿宋_GB2312"/>
          <w:sz w:val="24"/>
          <w:szCs w:val="24"/>
          <w:lang w:eastAsia="zh-CN"/>
        </w:rPr>
        <w:t>。</w:t>
      </w:r>
    </w:p>
    <w:p w14:paraId="60805C8A">
      <w:pPr>
        <w:keepNext w:val="0"/>
        <w:keepLines w:val="0"/>
        <w:pageBreakBefore w:val="0"/>
        <w:widowControl w:val="0"/>
        <w:numPr>
          <w:ilvl w:val="0"/>
          <w:numId w:val="0"/>
        </w:numPr>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该项目</w:t>
      </w:r>
      <w:r>
        <w:rPr>
          <w:rFonts w:hint="eastAsia" w:ascii="仿宋_GB2312" w:hAnsi="仿宋_GB2312" w:eastAsia="仿宋_GB2312" w:cs="仿宋_GB2312"/>
          <w:sz w:val="24"/>
          <w:szCs w:val="24"/>
        </w:rPr>
        <w:t>经营权期限为</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w:t>
      </w:r>
    </w:p>
    <w:p w14:paraId="5F57574F">
      <w:pPr>
        <w:keepNext w:val="0"/>
        <w:keepLines w:val="0"/>
        <w:pageBreakBefore w:val="0"/>
        <w:widowControl w:val="0"/>
        <w:numPr>
          <w:ilvl w:val="0"/>
          <w:numId w:val="0"/>
        </w:numPr>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第二条：</w:t>
      </w:r>
      <w:r>
        <w:rPr>
          <w:rFonts w:hint="eastAsia" w:ascii="仿宋_GB2312" w:hAnsi="仿宋_GB2312" w:eastAsia="仿宋_GB2312" w:cs="仿宋_GB2312"/>
          <w:b/>
          <w:sz w:val="24"/>
          <w:szCs w:val="24"/>
          <w:lang w:val="en-US" w:eastAsia="zh-CN"/>
        </w:rPr>
        <w:t>承包期限及免承包款期</w:t>
      </w:r>
    </w:p>
    <w:p w14:paraId="0B811F4E">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经营权免承包款期</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lang w:val="en-US" w:eastAsia="zh-CN"/>
        </w:rPr>
        <w:t>60</w:t>
      </w:r>
      <w:r>
        <w:rPr>
          <w:rFonts w:hint="eastAsia" w:ascii="仿宋_GB2312" w:hAnsi="仿宋_GB2312" w:eastAsia="仿宋_GB2312" w:cs="仿宋_GB2312"/>
          <w:sz w:val="24"/>
          <w:szCs w:val="24"/>
        </w:rPr>
        <w:t>天，自</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720D7853">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期限为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年，自</w:t>
      </w:r>
      <w:r>
        <w:rPr>
          <w:rFonts w:hint="eastAsia" w:ascii="仿宋_GB2312" w:hAnsi="仿宋_GB2312" w:eastAsia="仿宋_GB2312" w:cs="仿宋_GB2312"/>
          <w:sz w:val="24"/>
          <w:szCs w:val="24"/>
          <w:u w:val="single"/>
          <w:lang w:val="en-US" w:eastAsia="zh-CN"/>
        </w:rPr>
        <w:t>2025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2030</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317D9E27">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第三条：承包款及履约保证金</w:t>
      </w:r>
    </w:p>
    <w:p w14:paraId="58B0966B">
      <w:pPr>
        <w:pStyle w:val="2"/>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w:t>
      </w:r>
      <w:r>
        <w:rPr>
          <w:rFonts w:hint="eastAsia" w:ascii="仿宋_GB2312" w:hAnsi="仿宋_GB2312" w:eastAsia="仿宋_GB2312" w:cs="仿宋_GB2312"/>
          <w:sz w:val="24"/>
          <w:szCs w:val="24"/>
        </w:rPr>
        <w:t>承包款为竞拍成交年承包款，即（人民币）大写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元</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元/年，其中不含税金额（人民币）大写：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元/年；税金（人民币）大写：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w:t>
      </w:r>
    </w:p>
    <w:p w14:paraId="51CAE48A">
      <w:pPr>
        <w:pStyle w:val="7"/>
        <w:keepNext w:val="0"/>
        <w:keepLines w:val="0"/>
        <w:pageBreakBefore w:val="0"/>
        <w:widowControl w:val="0"/>
        <w:kinsoku/>
        <w:wordWrap/>
        <w:overflowPunct/>
        <w:topLinePunct w:val="0"/>
        <w:bidi w:val="0"/>
        <w:spacing w:line="420" w:lineRule="exact"/>
        <w:ind w:firstLine="5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履约保证金（人民币）大写：</w:t>
      </w:r>
      <w:r>
        <w:rPr>
          <w:rFonts w:hint="eastAsia" w:ascii="仿宋_GB2312" w:hAnsi="仿宋_GB2312" w:eastAsia="仿宋_GB2312" w:cs="仿宋_GB2312"/>
          <w:sz w:val="24"/>
          <w:szCs w:val="24"/>
          <w:u w:val="single"/>
          <w:lang w:val="en-US" w:eastAsia="zh-CN"/>
        </w:rPr>
        <w:t>壹万伍仟元</w:t>
      </w:r>
      <w:r>
        <w:rPr>
          <w:rFonts w:hint="eastAsia" w:ascii="仿宋_GB2312" w:hAnsi="仿宋_GB2312" w:eastAsia="仿宋_GB2312" w:cs="仿宋_GB2312"/>
          <w:sz w:val="24"/>
          <w:szCs w:val="24"/>
          <w:u w:val="single"/>
        </w:rPr>
        <w:t>整</w:t>
      </w: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lang w:val="en-US" w:eastAsia="zh-CN"/>
        </w:rPr>
        <w:t>15</w:t>
      </w:r>
      <w:r>
        <w:rPr>
          <w:rFonts w:hint="eastAsia" w:ascii="仿宋_GB2312" w:hAnsi="仿宋_GB2312" w:eastAsia="仿宋_GB2312" w:cs="仿宋_GB2312"/>
          <w:sz w:val="24"/>
          <w:szCs w:val="24"/>
          <w:u w:val="single"/>
        </w:rPr>
        <w:t>000</w:t>
      </w:r>
      <w:r>
        <w:rPr>
          <w:rFonts w:hint="eastAsia" w:ascii="仿宋_GB2312" w:hAnsi="仿宋_GB2312" w:eastAsia="仿宋_GB2312" w:cs="仿宋_GB2312"/>
          <w:sz w:val="24"/>
          <w:szCs w:val="24"/>
        </w:rPr>
        <w:t>元。合同签订前乙方向甲方指定账户通过转账方式支付履约保证金。该履约保证金在合同终止或解除后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自乙方按照甲方的要求交付场地完毕之日起7日内，</w:t>
      </w:r>
      <w:r>
        <w:rPr>
          <w:rFonts w:hint="eastAsia" w:ascii="仿宋_GB2312" w:hAnsi="仿宋_GB2312" w:eastAsia="仿宋_GB2312" w:cs="仿宋_GB2312"/>
          <w:sz w:val="24"/>
          <w:szCs w:val="24"/>
        </w:rPr>
        <w:t>由甲方无息退还乙方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但乙方因欠交相关费用及违约被扣除部分除外。</w:t>
      </w:r>
    </w:p>
    <w:p w14:paraId="4A0BF216">
      <w:pPr>
        <w:pStyle w:val="2"/>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上述租金不包括用电、供水、垃圾处理、安全防护等费用。用电、供水、垃圾处理、安全防护等费用由乙方按照相关部门规定承担。</w:t>
      </w:r>
    </w:p>
    <w:p w14:paraId="57268E30">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2、付款方式：</w:t>
      </w:r>
    </w:p>
    <w:p w14:paraId="247F0432">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第一年</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在本合同生效之日起7日内，由乙方支付至甲方指定账户；</w:t>
      </w:r>
      <w:r>
        <w:rPr>
          <w:rFonts w:hint="eastAsia" w:ascii="仿宋_GB2312" w:hAnsi="仿宋_GB2312" w:eastAsia="仿宋_GB2312" w:cs="仿宋_GB2312"/>
          <w:sz w:val="24"/>
          <w:szCs w:val="24"/>
          <w:lang w:val="en-US" w:eastAsia="zh-CN"/>
        </w:rPr>
        <w:t>第二年至第五年的经营权承包款</w:t>
      </w:r>
      <w:r>
        <w:rPr>
          <w:rFonts w:hint="eastAsia" w:ascii="仿宋_GB2312" w:hAnsi="仿宋_GB2312" w:eastAsia="仿宋_GB2312" w:cs="仿宋_GB2312"/>
          <w:sz w:val="24"/>
          <w:szCs w:val="24"/>
        </w:rPr>
        <w:t>分别于乙方前一年</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期满30日前支付至甲方指定账户。</w:t>
      </w:r>
    </w:p>
    <w:p w14:paraId="4809CA03">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（1）户名：</w:t>
      </w:r>
      <w:r>
        <w:rPr>
          <w:rFonts w:hint="eastAsia" w:ascii="仿宋_GB2312" w:hAnsi="仿宋_GB2312" w:eastAsia="仿宋_GB2312" w:cs="仿宋_GB2312"/>
          <w:sz w:val="24"/>
          <w:szCs w:val="24"/>
          <w:u w:val="single"/>
        </w:rPr>
        <w:t>开封西湖文旅投资有限公司</w:t>
      </w:r>
      <w:r>
        <w:rPr>
          <w:rFonts w:hint="eastAsia" w:ascii="仿宋_GB2312" w:hAnsi="仿宋_GB2312" w:eastAsia="仿宋_GB2312" w:cs="仿宋_GB2312"/>
          <w:sz w:val="24"/>
          <w:szCs w:val="24"/>
          <w:u w:val="single"/>
          <w:lang w:val="en-US" w:eastAsia="zh-CN"/>
        </w:rPr>
        <w:t xml:space="preserve">   </w:t>
      </w:r>
    </w:p>
    <w:p w14:paraId="32B677B5">
      <w:pPr>
        <w:keepNext w:val="0"/>
        <w:keepLines w:val="0"/>
        <w:pageBreakBefore w:val="0"/>
        <w:widowControl w:val="0"/>
        <w:kinsoku/>
        <w:wordWrap/>
        <w:overflowPunct/>
        <w:topLinePunct w:val="0"/>
        <w:bidi w:val="0"/>
        <w:snapToGrid w:val="0"/>
        <w:spacing w:line="420" w:lineRule="exact"/>
        <w:ind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（2）开户行：</w:t>
      </w:r>
      <w:r>
        <w:rPr>
          <w:rFonts w:hint="eastAsia" w:ascii="仿宋_GB2312" w:hAnsi="仿宋_GB2312" w:eastAsia="仿宋_GB2312" w:cs="仿宋_GB2312"/>
          <w:sz w:val="24"/>
          <w:szCs w:val="24"/>
          <w:u w:val="single"/>
        </w:rPr>
        <w:t xml:space="preserve">中国银行新区支行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3EBD7D80">
      <w:pPr>
        <w:keepNext w:val="0"/>
        <w:keepLines w:val="0"/>
        <w:pageBreakBefore w:val="0"/>
        <w:widowControl w:val="0"/>
        <w:kinsoku/>
        <w:wordWrap/>
        <w:overflowPunct/>
        <w:topLinePunct w:val="0"/>
        <w:bidi w:val="0"/>
        <w:snapToGrid w:val="0"/>
        <w:spacing w:line="420" w:lineRule="exact"/>
        <w:ind w:firstLine="480"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（3）银行账号：</w:t>
      </w:r>
      <w:r>
        <w:rPr>
          <w:rFonts w:hint="eastAsia" w:ascii="仿宋_GB2312" w:hAnsi="仿宋_GB2312" w:eastAsia="仿宋_GB2312" w:cs="仿宋_GB2312"/>
          <w:sz w:val="24"/>
          <w:szCs w:val="24"/>
          <w:u w:val="single"/>
        </w:rPr>
        <w:t xml:space="preserve">253346541978 </w:t>
      </w:r>
      <w:r>
        <w:rPr>
          <w:rFonts w:hint="eastAsia" w:ascii="仿宋_GB2312" w:hAnsi="仿宋_GB2312" w:eastAsia="仿宋_GB2312" w:cs="仿宋_GB2312"/>
          <w:sz w:val="24"/>
          <w:szCs w:val="24"/>
          <w:u w:val="single"/>
          <w:lang w:val="en-US" w:eastAsia="zh-CN"/>
        </w:rPr>
        <w:t xml:space="preserve">         </w:t>
      </w:r>
    </w:p>
    <w:p w14:paraId="34013D1B">
      <w:pPr>
        <w:pStyle w:val="7"/>
        <w:keepNext w:val="0"/>
        <w:keepLines w:val="0"/>
        <w:pageBreakBefore w:val="0"/>
        <w:widowControl w:val="0"/>
        <w:kinsoku/>
        <w:wordWrap/>
        <w:overflowPunct/>
        <w:topLinePunct w:val="0"/>
        <w:bidi w:val="0"/>
        <w:spacing w:line="420" w:lineRule="exact"/>
        <w:ind w:firstLine="56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3、甲方收取</w:t>
      </w:r>
      <w:r>
        <w:rPr>
          <w:rFonts w:hint="eastAsia" w:ascii="仿宋_GB2312" w:hAnsi="仿宋_GB2312" w:eastAsia="仿宋_GB2312" w:cs="仿宋_GB2312"/>
          <w:sz w:val="24"/>
          <w:szCs w:val="24"/>
          <w:lang w:val="en-US" w:eastAsia="zh-CN"/>
        </w:rPr>
        <w:t>承包款</w:t>
      </w:r>
      <w:r>
        <w:rPr>
          <w:rFonts w:hint="eastAsia" w:ascii="仿宋_GB2312" w:hAnsi="仿宋_GB2312" w:eastAsia="仿宋_GB2312" w:cs="仿宋_GB2312"/>
          <w:sz w:val="24"/>
          <w:szCs w:val="24"/>
        </w:rPr>
        <w:t>后须向乙方出具正式发票。</w:t>
      </w:r>
    </w:p>
    <w:p w14:paraId="1ED5563D">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第四条：甲方权利与义务</w:t>
      </w:r>
    </w:p>
    <w:p w14:paraId="62CB7BFB">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1、甲方有权对乙方在本合同约定范围内经营管理行为的合法、合规性进行监督。</w:t>
      </w:r>
    </w:p>
    <w:p w14:paraId="281DAB27">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协助乙方用电相关事宜</w:t>
      </w:r>
      <w:r>
        <w:rPr>
          <w:rFonts w:hint="eastAsia" w:ascii="仿宋_GB2312" w:hAnsi="仿宋_GB2312" w:eastAsia="仿宋_GB2312" w:cs="仿宋_GB2312"/>
          <w:sz w:val="24"/>
          <w:szCs w:val="24"/>
        </w:rPr>
        <w:t>。</w:t>
      </w:r>
    </w:p>
    <w:p w14:paraId="66CB4438">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3、甲方有权对乙方在项目运营过程中的</w:t>
      </w:r>
      <w:r>
        <w:rPr>
          <w:rFonts w:hint="eastAsia" w:ascii="仿宋_GB2312" w:hAnsi="仿宋_GB2312" w:eastAsia="仿宋_GB2312" w:cs="仿宋_GB2312"/>
          <w:sz w:val="24"/>
          <w:szCs w:val="24"/>
          <w:lang w:val="en-US" w:eastAsia="zh-CN"/>
        </w:rPr>
        <w:t>设备安全</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运营规范、</w:t>
      </w:r>
      <w:r>
        <w:rPr>
          <w:rFonts w:hint="eastAsia" w:ascii="仿宋_GB2312" w:hAnsi="仿宋_GB2312" w:eastAsia="仿宋_GB2312" w:cs="仿宋_GB2312"/>
          <w:sz w:val="24"/>
          <w:szCs w:val="24"/>
        </w:rPr>
        <w:t>环境卫生、人员健康、消防安全等方面进行检查，对不符合规定要求的，甲方有权要求乙方立即整改，并以书面形式通知乙方，</w:t>
      </w:r>
      <w:r>
        <w:rPr>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i w:val="0"/>
          <w:iCs w:val="0"/>
          <w:caps w:val="0"/>
          <w:spacing w:val="0"/>
          <w:sz w:val="24"/>
          <w:szCs w:val="24"/>
          <w:shd w:val="clear"/>
        </w:rPr>
        <w:t>连续两次出现同类问题，或单次出现的问题情节严重（包括但不限于涉及重大安全、卫生或环境污染事故，或受到政府主管部门行政处罚）</w:t>
      </w:r>
      <w:r>
        <w:rPr>
          <w:rFonts w:hint="eastAsia" w:ascii="仿宋_GB2312" w:hAnsi="仿宋_GB2312" w:eastAsia="仿宋_GB2312" w:cs="仿宋_GB2312"/>
          <w:i w:val="0"/>
          <w:iCs w:val="0"/>
          <w:caps w:val="0"/>
          <w:spacing w:val="0"/>
          <w:sz w:val="24"/>
          <w:szCs w:val="24"/>
          <w:shd w:val="clear"/>
          <w:lang w:eastAsia="zh-CN"/>
        </w:rPr>
        <w:t>，</w:t>
      </w:r>
      <w:r>
        <w:rPr>
          <w:rFonts w:hint="eastAsia" w:ascii="仿宋_GB2312" w:hAnsi="仿宋_GB2312" w:eastAsia="仿宋_GB2312" w:cs="仿宋_GB2312"/>
          <w:i w:val="0"/>
          <w:iCs w:val="0"/>
          <w:caps w:val="0"/>
          <w:spacing w:val="0"/>
          <w:sz w:val="24"/>
          <w:szCs w:val="24"/>
          <w:shd w:val="clear"/>
          <w:lang w:val="en-US" w:eastAsia="zh-CN"/>
        </w:rPr>
        <w:t>甲方有权单方面</w:t>
      </w:r>
      <w:r>
        <w:rPr>
          <w:rFonts w:hint="eastAsia" w:ascii="仿宋_GB2312" w:hAnsi="仿宋_GB2312" w:eastAsia="仿宋_GB2312" w:cs="仿宋_GB2312"/>
          <w:sz w:val="24"/>
          <w:szCs w:val="24"/>
        </w:rPr>
        <w:t>解除合同，并视作乙方违约。</w:t>
      </w:r>
    </w:p>
    <w:p w14:paraId="07C8D8A3">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4、甲方提供的项目相关设施设备所有权归属甲方。</w:t>
      </w:r>
    </w:p>
    <w:p w14:paraId="0849D618">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期结束或</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期间终止合同时，收验附属设施；收验合格，费用结清，办理收验交接手续。</w:t>
      </w:r>
    </w:p>
    <w:p w14:paraId="03D5319B">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期间内遇不可抗力、水库规划调整、政府行为、相关政策变化或行业主管部门政策需终止合同的，甲方应当及时通知乙方解除协议，并无需承担任何违约责任；乙方应当在接到甲方通知后</w:t>
      </w:r>
      <w:r>
        <w:rPr>
          <w:rFonts w:hint="eastAsia" w:ascii="仿宋_GB2312" w:hAnsi="仿宋_GB2312" w:eastAsia="仿宋_GB2312" w:cs="仿宋_GB2312"/>
          <w:sz w:val="24"/>
          <w:szCs w:val="24"/>
          <w:lang w:val="en-US" w:eastAsia="zh-CN"/>
        </w:rPr>
        <w:t>一个月</w:t>
      </w:r>
      <w:r>
        <w:rPr>
          <w:rFonts w:hint="eastAsia" w:ascii="仿宋_GB2312" w:hAnsi="仿宋_GB2312" w:eastAsia="仿宋_GB2312" w:cs="仿宋_GB2312"/>
          <w:sz w:val="24"/>
          <w:szCs w:val="24"/>
        </w:rPr>
        <w:t>内</w:t>
      </w:r>
      <w:r>
        <w:rPr>
          <w:rFonts w:hint="eastAsia" w:ascii="仿宋_GB2312" w:hAnsi="仿宋_GB2312" w:eastAsia="仿宋_GB2312" w:cs="仿宋_GB2312"/>
          <w:sz w:val="24"/>
          <w:szCs w:val="24"/>
          <w:lang w:val="en-US" w:eastAsia="zh-CN"/>
        </w:rPr>
        <w:t>办理退租手续</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乙方已支付的承包款，甲方按照乙方实际使用时间结算后无息退还剩余部分；履约保证金在乙方结清所有费用且场地交接完毕后无息退还。</w:t>
      </w:r>
      <w:r>
        <w:rPr>
          <w:rFonts w:hint="eastAsia" w:ascii="仿宋_GB2312" w:hAnsi="仿宋_GB2312" w:eastAsia="仿宋_GB2312" w:cs="仿宋_GB2312"/>
          <w:sz w:val="24"/>
          <w:szCs w:val="24"/>
        </w:rPr>
        <w:t>乙方不得就本协议的解除向甲方主张任何形式的补偿、赔偿或损失</w:t>
      </w:r>
      <w:r>
        <w:rPr>
          <w:rFonts w:hint="eastAsia" w:ascii="仿宋_GB2312" w:hAnsi="仿宋_GB2312" w:eastAsia="仿宋_GB2312" w:cs="仿宋_GB2312"/>
          <w:sz w:val="24"/>
          <w:szCs w:val="24"/>
          <w:lang w:eastAsia="zh-CN"/>
        </w:rPr>
        <w:t>。</w:t>
      </w:r>
    </w:p>
    <w:p w14:paraId="50961B9B">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第五条：乙方权利和义务</w:t>
      </w:r>
    </w:p>
    <w:p w14:paraId="0A305185">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sz w:val="24"/>
          <w:szCs w:val="24"/>
          <w:lang w:val="en-US" w:eastAsia="zh-CN"/>
        </w:rPr>
        <w:t>乙方应在本合同签订之日起，在约定的经营权免承包款期内完成该项目的进场工作。</w:t>
      </w:r>
    </w:p>
    <w:p w14:paraId="74B21E9C">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2、乙方的经营业态及装饰装修方案，需上报甲方审核通过，方可进行入场装修。</w:t>
      </w:r>
    </w:p>
    <w:p w14:paraId="509A5E85">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sz w:val="24"/>
          <w:szCs w:val="24"/>
        </w:rPr>
        <w:t>严格执行国家法律法规和甲方的相关管理规定，且只能在本次中标之范围内合法文明经营，不得超区域或占道经营。</w:t>
      </w:r>
    </w:p>
    <w:p w14:paraId="3509058F">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、科学合理使用</w:t>
      </w:r>
      <w:r>
        <w:rPr>
          <w:rFonts w:hint="eastAsia" w:ascii="仿宋_GB2312" w:hAnsi="仿宋_GB2312" w:eastAsia="仿宋_GB2312" w:cs="仿宋_GB2312"/>
          <w:sz w:val="24"/>
          <w:szCs w:val="24"/>
          <w:lang w:val="en-US" w:eastAsia="zh-CN"/>
        </w:rPr>
        <w:t>经营场地</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期间的一切安全责任及纠纷。一旦出现安全责任事故及纠纷，由此造成的一切法律后果均由乙方承担。</w:t>
      </w:r>
    </w:p>
    <w:p w14:paraId="251B432B">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、接受甲方及政府职能机构对经营范围、卫生、质量、价格、广告、服务等方面的监督、检查，并服从管理，及时整改。</w:t>
      </w:r>
    </w:p>
    <w:p w14:paraId="3A1DC0F7">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按库区电费收费标准规定及时向甲方交纳电费。</w:t>
      </w:r>
    </w:p>
    <w:p w14:paraId="1812C126">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、保持</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环境卫生不受损坏</w:t>
      </w:r>
      <w:r>
        <w:rPr>
          <w:rFonts w:hint="eastAsia" w:ascii="仿宋_GB2312" w:hAnsi="仿宋_GB2312" w:eastAsia="仿宋_GB2312" w:cs="仿宋_GB2312"/>
          <w:sz w:val="24"/>
          <w:szCs w:val="24"/>
        </w:rPr>
        <w:t>，并负责日常维修维护，不得在</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私搭乱建，破坏绿地及周边配套设施等行为。可以根据经营需要增添附设备、设施，但不得影响</w:t>
      </w:r>
      <w:r>
        <w:rPr>
          <w:rFonts w:hint="eastAsia" w:ascii="仿宋_GB2312" w:hAnsi="仿宋_GB2312" w:eastAsia="仿宋_GB2312" w:cs="仿宋_GB2312"/>
          <w:sz w:val="24"/>
          <w:szCs w:val="24"/>
          <w:lang w:val="en-US" w:eastAsia="zh-CN"/>
        </w:rPr>
        <w:t>广场整体形象及安全</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入场</w:t>
      </w:r>
      <w:r>
        <w:rPr>
          <w:rFonts w:hint="eastAsia" w:ascii="仿宋_GB2312" w:hAnsi="仿宋_GB2312" w:eastAsia="仿宋_GB2312" w:cs="仿宋_GB2312"/>
          <w:sz w:val="24"/>
          <w:szCs w:val="24"/>
        </w:rPr>
        <w:t>或改造过程中或经营活动中造成自身和他人人身和财产损失，均由乙方自行负责，与甲方无关。若甲方因此承担赔偿责任的，有权向乙方追偿，并要求乙方承担因追偿而支付的全部费用。</w:t>
      </w:r>
    </w:p>
    <w:p w14:paraId="0B01A9D3">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、自行办理营业执照、相关行业证照、税务登记等证照，</w:t>
      </w:r>
      <w:r>
        <w:rPr>
          <w:rFonts w:hint="eastAsia" w:ascii="仿宋_GB2312" w:hAnsi="仿宋_GB2312" w:eastAsia="仿宋_GB2312" w:cs="仿宋_GB2312"/>
          <w:color w:val="000000" w:themeColor="text1"/>
          <w:sz w:val="24"/>
          <w:szCs w:val="24"/>
          <w14:textFill>
            <w14:solidFill>
              <w14:schemeClr w14:val="tx1"/>
            </w14:solidFill>
          </w14:textFill>
        </w:rPr>
        <w:t>承担经营所发生的一切税费并承担相关责任，并</w:t>
      </w:r>
      <w:r>
        <w:rPr>
          <w:rFonts w:hint="eastAsia" w:ascii="仿宋_GB2312" w:hAnsi="仿宋_GB2312" w:eastAsia="仿宋_GB2312" w:cs="仿宋_GB2312"/>
          <w:sz w:val="24"/>
          <w:szCs w:val="24"/>
        </w:rPr>
        <w:t>在经营过程中规范用工，因乙方违法违规经营或其他违法违规行为造成的后果及损失由乙方自行承担。</w:t>
      </w:r>
    </w:p>
    <w:p w14:paraId="44731111">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、经营服务标准必须符合行业规范，经营服务人员经营工作期间必须着装整齐、言行文明，不得有酗酒等不文明行为，符合甲方企业文化和服务规范要求。</w:t>
      </w:r>
      <w:r>
        <w:rPr>
          <w:rFonts w:hint="eastAsia" w:ascii="仿宋_GB2312" w:hAnsi="仿宋_GB2312" w:eastAsia="仿宋_GB2312" w:cs="仿宋_GB2312"/>
          <w:color w:val="000000" w:themeColor="text1"/>
          <w:sz w:val="24"/>
          <w:szCs w:val="24"/>
          <w14:textFill>
            <w14:solidFill>
              <w14:schemeClr w14:val="tx1"/>
            </w14:solidFill>
          </w14:textFill>
        </w:rPr>
        <w:t>乙方所有的经营活动，不得有损甲方的市场形象及生态环境。</w:t>
      </w:r>
    </w:p>
    <w:p w14:paraId="17E076ED">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w:t>
      </w:r>
      <w:r>
        <w:rPr>
          <w:rFonts w:hint="eastAsia" w:ascii="仿宋_GB2312" w:hAnsi="仿宋_GB2312" w:eastAsia="仿宋_GB2312" w:cs="仿宋_GB2312"/>
          <w:color w:val="000000" w:themeColor="text1"/>
          <w:sz w:val="24"/>
          <w:szCs w:val="24"/>
          <w14:textFill>
            <w14:solidFill>
              <w14:schemeClr w14:val="tx1"/>
            </w14:solidFill>
          </w14:textFill>
        </w:rPr>
        <w:t>期间，乙方对经营安全负全部责任，自行采取防火、防盗等安全措施。加强用电安全，不得乱拖、乱接电线；乙方所造成的一切安全隐患（包括但不限于任何人身损害、财产损失），由乙方承担全责。</w:t>
      </w:r>
    </w:p>
    <w:p w14:paraId="359B683C">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、乙方不得将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该项目经营权</w:t>
      </w:r>
      <w:r>
        <w:rPr>
          <w:rFonts w:hint="eastAsia" w:ascii="仿宋_GB2312" w:hAnsi="仿宋_GB2312" w:eastAsia="仿宋_GB2312" w:cs="仿宋_GB2312"/>
          <w:color w:val="000000" w:themeColor="text1"/>
          <w:sz w:val="24"/>
          <w:szCs w:val="24"/>
          <w14:textFill>
            <w14:solidFill>
              <w14:schemeClr w14:val="tx1"/>
            </w14:solidFill>
          </w14:textFill>
        </w:rPr>
        <w:t>转让给第三方，不得将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经营权承包场地</w:t>
      </w:r>
      <w:r>
        <w:rPr>
          <w:rFonts w:hint="eastAsia" w:ascii="仿宋_GB2312" w:hAnsi="仿宋_GB2312" w:eastAsia="仿宋_GB2312" w:cs="仿宋_GB2312"/>
          <w:color w:val="000000" w:themeColor="text1"/>
          <w:sz w:val="24"/>
          <w:szCs w:val="24"/>
          <w14:textFill>
            <w14:solidFill>
              <w14:schemeClr w14:val="tx1"/>
            </w14:solidFill>
          </w14:textFill>
        </w:rPr>
        <w:t>用作抵（质）押、转让，不得以甲方名义进行经营和广告宣传活动。</w:t>
      </w:r>
    </w:p>
    <w:p w14:paraId="4CD6BD9A">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、乙方需做好项目运营区域及周边的环境保护及卫生清理工作，</w:t>
      </w:r>
    </w:p>
    <w:p w14:paraId="2E727C18">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如因乙方运营原因造成周边环境（如绿化、地面铺装等）破坏或污染，维修及更换费用由乙方承担。</w:t>
      </w:r>
    </w:p>
    <w:p w14:paraId="1BC97272">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0B4DFCD">
      <w:pPr>
        <w:keepNext w:val="0"/>
        <w:keepLines w:val="0"/>
        <w:pageBreakBefore w:val="0"/>
        <w:widowControl w:val="0"/>
        <w:kinsoku/>
        <w:wordWrap/>
        <w:overflowPunct/>
        <w:topLinePunct w:val="0"/>
        <w:bidi w:val="0"/>
        <w:spacing w:line="420" w:lineRule="exact"/>
        <w:ind w:left="56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、在经营过程中，如乙方出现其他经济问题，乙方自行处理与</w:t>
      </w:r>
    </w:p>
    <w:p w14:paraId="74A21B22">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甲方无关，若因乙方原因导致项目无法正常运营或对甲方造成不利影响的（包括但不限于因乙方与第三人纠纷导致甲方需协助法院执行或对其他机关进行协助的），甲方有权立即解除合同。</w:t>
      </w:r>
    </w:p>
    <w:p w14:paraId="49C01D77">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第六条：违约责任</w:t>
      </w:r>
    </w:p>
    <w:p w14:paraId="45BEC88E">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乙方未能按期缴纳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的，每逾期一日应按照应付年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运营</w:t>
      </w:r>
      <w:r>
        <w:rPr>
          <w:rFonts w:hint="eastAsia" w:ascii="仿宋_GB2312" w:hAnsi="仿宋_GB2312" w:eastAsia="仿宋_GB2312" w:cs="仿宋_GB2312"/>
          <w:color w:val="000000" w:themeColor="text1"/>
          <w:sz w:val="24"/>
          <w:szCs w:val="24"/>
          <w14:textFill>
            <w14:solidFill>
              <w14:schemeClr w14:val="tx1"/>
            </w14:solidFill>
          </w14:textFill>
        </w:rPr>
        <w:t>场地恢复原状交付甲方，每逾期一日，乙方应向甲方缴纳每日1000元违约金。</w:t>
      </w:r>
    </w:p>
    <w:p w14:paraId="3ECFD62A">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租赁期间严禁乙方擅自终止</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转包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分包</w:t>
      </w:r>
      <w:r>
        <w:rPr>
          <w:rFonts w:hint="eastAsia" w:ascii="仿宋_GB2312" w:hAnsi="仿宋_GB2312" w:eastAsia="仿宋_GB2312" w:cs="仿宋_GB2312"/>
          <w:color w:val="000000" w:themeColor="text1"/>
          <w:sz w:val="24"/>
          <w:szCs w:val="24"/>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1992BD85">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按乙方已</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的日期（以整月计算，不足一个月按整月计）扣除，并且扣除履约保证金。</w:t>
      </w:r>
    </w:p>
    <w:p w14:paraId="067E11FB">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12CF4128">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乙方在使用场地过程中违反本合同约定或甲方管理规定的，甲方有权解除合同，同时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乙方应当向甲方支付合同总价款15%的违约金</w:t>
      </w:r>
      <w:r>
        <w:rPr>
          <w:rFonts w:hint="eastAsia" w:ascii="仿宋_GB2312" w:hAnsi="仿宋_GB2312" w:eastAsia="仿宋_GB2312" w:cs="仿宋_GB2312"/>
          <w:color w:val="000000" w:themeColor="text1"/>
          <w:sz w:val="24"/>
          <w:szCs w:val="24"/>
          <w14:textFill>
            <w14:solidFill>
              <w14:schemeClr w14:val="tx1"/>
            </w14:solidFill>
          </w14:textFill>
        </w:rPr>
        <w:t>。</w:t>
      </w:r>
    </w:p>
    <w:p w14:paraId="535211B2">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00元的违约金。</w:t>
      </w:r>
    </w:p>
    <w:p w14:paraId="5F97D554">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w:t>
      </w:r>
      <w:r>
        <w:rPr>
          <w:rFonts w:hint="eastAsia" w:ascii="仿宋_GB2312" w:hAnsi="仿宋_GB2312" w:eastAsia="仿宋_GB2312" w:cs="仿宋_GB2312"/>
          <w:color w:val="000000" w:themeColor="text1"/>
          <w:sz w:val="24"/>
          <w:szCs w:val="24"/>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4"/>
          <w:szCs w:val="24"/>
          <w14:textFill>
            <w14:solidFill>
              <w14:schemeClr w14:val="tx1"/>
            </w14:solidFill>
          </w14:textFill>
        </w:rPr>
        <w:t>内的物品和设备，甲方有权自行处置。</w:t>
      </w:r>
    </w:p>
    <w:p w14:paraId="264DF216">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8、上述违约金甲方有权直接自履约保证金中扣除，不足部分乙方向甲方支付。</w:t>
      </w:r>
    </w:p>
    <w:p w14:paraId="2341044C">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第七条：合同的解除</w:t>
      </w:r>
    </w:p>
    <w:p w14:paraId="10D76591">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经双方协商一致，可以解除本合同。</w:t>
      </w:r>
    </w:p>
    <w:p w14:paraId="5B2D5338">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w:t>
      </w:r>
    </w:p>
    <w:p w14:paraId="1D122514">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、履约保证金逾期超过30日的；</w:t>
      </w:r>
    </w:p>
    <w:p w14:paraId="3D08F430">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②擅自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改变经营权场地</w:t>
      </w:r>
      <w:r>
        <w:rPr>
          <w:rFonts w:hint="eastAsia" w:ascii="仿宋_GB2312" w:hAnsi="仿宋_GB2312" w:eastAsia="仿宋_GB2312" w:cs="仿宋_GB2312"/>
          <w:color w:val="000000" w:themeColor="text1"/>
          <w:sz w:val="24"/>
          <w:szCs w:val="24"/>
          <w14:textFill>
            <w14:solidFill>
              <w14:schemeClr w14:val="tx1"/>
            </w14:solidFill>
          </w14:textFill>
        </w:rPr>
        <w:t>经营用途的；</w:t>
      </w:r>
    </w:p>
    <w:p w14:paraId="3249661F">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③擅自拆改变动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4"/>
          <w:szCs w:val="24"/>
          <w14:textFill>
            <w14:solidFill>
              <w14:schemeClr w14:val="tx1"/>
            </w14:solidFill>
          </w14:textFill>
        </w:rPr>
        <w:t>周边绿地及配套设施的；</w:t>
      </w:r>
    </w:p>
    <w:p w14:paraId="47117C78">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④擅自转第三方经营的；</w:t>
      </w:r>
    </w:p>
    <w:p w14:paraId="364FD858">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⑤利用该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从事违法活动的。</w:t>
      </w:r>
    </w:p>
    <w:p w14:paraId="6D0A8F6C">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2、甲方有下列情形之一的，乙方有权单方解除合同：</w:t>
      </w:r>
    </w:p>
    <w:p w14:paraId="4AC86EAE">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①未按约定时间交付该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4"/>
          <w:szCs w:val="24"/>
          <w14:textFill>
            <w14:solidFill>
              <w14:schemeClr w14:val="tx1"/>
            </w14:solidFill>
          </w14:textFill>
        </w:rPr>
        <w:t>达30日的；</w:t>
      </w:r>
    </w:p>
    <w:p w14:paraId="0A405482">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第八条：不可抗力因素</w:t>
      </w:r>
    </w:p>
    <w:p w14:paraId="2C9422E1">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合同履行期间因不可抗力（含各级政府和行业部门的行为及政策变化）导致合同不能履行或不能完全履行的，合同各方均不承担违约责任。</w:t>
      </w:r>
    </w:p>
    <w:p w14:paraId="3E1E485A">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第九条：争议解决方式</w:t>
      </w:r>
    </w:p>
    <w:p w14:paraId="52DCD4DC">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双方因本合同的履行或与本合同有关的其他事项而发生的争议，应由双方友好协商解决。如协商不成或不愿协商，则任何一方有权将争议提交甲方所在地人民法院解决。</w:t>
      </w:r>
    </w:p>
    <w:p w14:paraId="3D42F0F2">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第十条：附则</w:t>
      </w:r>
    </w:p>
    <w:p w14:paraId="4B6AA4FA">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1、本合同自双方法定代表人或授权代表签字或盖章并加盖公章之日起生效。本合同一式</w:t>
      </w:r>
      <w:r>
        <w:rPr>
          <w:rFonts w:hint="eastAsia" w:ascii="仿宋_GB2312" w:hAnsi="仿宋_GB2312" w:eastAsia="仿宋_GB2312" w:cs="仿宋_GB2312"/>
          <w:sz w:val="24"/>
          <w:szCs w:val="24"/>
          <w:u w:val="single"/>
        </w:rPr>
        <w:t>捌</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rPr>
        <w:t>柒</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壹</w:t>
      </w:r>
      <w:r>
        <w:rPr>
          <w:rFonts w:hint="eastAsia" w:ascii="仿宋_GB2312" w:hAnsi="仿宋_GB2312" w:eastAsia="仿宋_GB2312" w:cs="仿宋_GB2312"/>
          <w:sz w:val="24"/>
          <w:szCs w:val="24"/>
        </w:rPr>
        <w:t>份，具有同等的法律效力。</w:t>
      </w:r>
    </w:p>
    <w:p w14:paraId="23163424">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2、双方对合同内容的变更或补充应采用书面形式，并由双方签字盖章作为合同附件，附件与本合同具有同等的法律效力。</w:t>
      </w:r>
    </w:p>
    <w:p w14:paraId="06A60809">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p>
    <w:p w14:paraId="6883BDDD">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p>
    <w:p w14:paraId="18D19A08">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为签署页</w:t>
      </w:r>
      <w:r>
        <w:rPr>
          <w:rFonts w:hint="eastAsia" w:ascii="仿宋_GB2312" w:hAnsi="仿宋_GB2312" w:eastAsia="仿宋_GB2312" w:cs="仿宋_GB2312"/>
          <w:sz w:val="24"/>
          <w:szCs w:val="24"/>
        </w:rPr>
        <w:t>）</w:t>
      </w:r>
    </w:p>
    <w:p w14:paraId="038EB55A">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kern w:val="0"/>
          <w:sz w:val="24"/>
          <w:szCs w:val="24"/>
        </w:rPr>
      </w:pPr>
    </w:p>
    <w:p w14:paraId="79A65B25">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kern w:val="0"/>
          <w:sz w:val="24"/>
          <w:szCs w:val="24"/>
        </w:rPr>
      </w:pPr>
    </w:p>
    <w:p w14:paraId="1A770543">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（盖章）             乙方：     （盖章</w:t>
      </w:r>
      <w:r>
        <w:rPr>
          <w:rFonts w:hint="eastAsia" w:ascii="仿宋_GB2312" w:hAnsi="仿宋_GB2312" w:eastAsia="仿宋_GB2312" w:cs="仿宋_GB2312"/>
          <w:sz w:val="24"/>
          <w:szCs w:val="24"/>
          <w:lang w:val="en-US" w:eastAsia="zh-CN"/>
        </w:rPr>
        <w:t>或签字</w:t>
      </w:r>
      <w:r>
        <w:rPr>
          <w:rFonts w:hint="eastAsia" w:ascii="仿宋_GB2312" w:hAnsi="仿宋_GB2312" w:eastAsia="仿宋_GB2312" w:cs="仿宋_GB2312"/>
          <w:sz w:val="24"/>
          <w:szCs w:val="24"/>
        </w:rPr>
        <w:t>）</w:t>
      </w:r>
    </w:p>
    <w:p w14:paraId="3ACBCE98">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14162154">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                   法定代表人或 </w:t>
      </w:r>
    </w:p>
    <w:p w14:paraId="0B02F29B">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65D0D3F3">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委托代理人：（签字）             委托代理人：（签字）</w:t>
      </w:r>
    </w:p>
    <w:p w14:paraId="3E1F29F9">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0A02B84F">
      <w:pPr>
        <w:keepNext w:val="0"/>
        <w:keepLines w:val="0"/>
        <w:pageBreakBefore w:val="0"/>
        <w:widowControl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rPr>
      </w:pPr>
    </w:p>
    <w:p w14:paraId="0E519F4A">
      <w:pPr>
        <w:keepNext w:val="0"/>
        <w:keepLines w:val="0"/>
        <w:pageBreakBefore w:val="0"/>
        <w:widowControl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签订日期：    年   月 </w:t>
      </w:r>
      <w:r>
        <w:rPr>
          <w:rFonts w:hint="eastAsia" w:ascii="仿宋_GB2312" w:hAnsi="仿宋_GB2312" w:eastAsia="仿宋_GB2312" w:cs="仿宋_GB2312"/>
          <w:sz w:val="24"/>
          <w:szCs w:val="24"/>
          <w:lang w:val="en-US" w:eastAsia="zh-CN"/>
        </w:rPr>
        <w:t xml:space="preserve"> 日</w:t>
      </w:r>
    </w:p>
    <w:p w14:paraId="7A72D2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5FD05585"/>
    <w:multiLevelType w:val="singleLevel"/>
    <w:tmpl w:val="5FD055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83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rPr>
      <w:sz w:val="28"/>
      <w:szCs w:val="28"/>
    </w:rPr>
  </w:style>
  <w:style w:type="paragraph" w:styleId="4">
    <w:name w:val="Plain Text"/>
    <w:basedOn w:val="1"/>
    <w:next w:val="3"/>
    <w:qFormat/>
    <w:uiPriority w:val="0"/>
    <w:rPr>
      <w:rFonts w:ascii="宋体" w:hAnsi="宋体" w:eastAsia="仿宋"/>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Default"/>
    <w:basedOn w:val="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2025-11-12T08:05:47Z</dcterms:created>
  <dc:creator>Administrator</dc:creator>
  <cp:lastModifiedBy>郭念東</cp:lastModifiedBy>
  <dcterms:modified xsi:type="dcterms:W3CDTF">2025-11-12T08:06:15Z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eyJoZGlkIjoiNWJkMzcyM2YxZDNmNGI3ODM0M2FlNDFhZTAwYjZlNDEiLCJ1c2VySWQiOiI3NTUxNjg5NzEifQ==</vt:lpwstr>
  </property>
  <property fmtid="{D5CDD505-2E9C-101B-9397-08002B2CF9AE}" pid="4" name="ICV">
    <vt:lpwstr>50CBD09957244CC3B8D6C5891E15A16F_12</vt:lpwstr>
  </property>
</Properties>
</file>