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280C">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银滩卡丁车训练营、银滩小火车项目</w:t>
      </w:r>
    </w:p>
    <w:p w14:paraId="4D048CE4">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情况说明</w:t>
      </w:r>
      <w:bookmarkStart w:id="0" w:name="_GoBack"/>
      <w:bookmarkEnd w:id="0"/>
    </w:p>
    <w:p w14:paraId="5718A5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6E9EEC5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银滩卡丁车训练营、银滩小火车项目分别位于库区西岸二号岗内和库区范围内，均由甲方提供运营资料（清单见附1）。该项目包含银滩卡丁车训练营（包含银滩卡丁车训练营跑道500米面积为1250㎡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售票房33.6㎡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仓库2间32.8㎡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12㎡便民超市一间经营权）、银滩小火车经营权（限定两辆小火车）。经营权期限为3年。</w:t>
      </w:r>
    </w:p>
    <w:p w14:paraId="22DD08A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承包人应具</w:t>
      </w:r>
      <w:r>
        <w:rPr>
          <w:rFonts w:hint="eastAsia" w:ascii="仿宋_GB2312" w:hAnsi="仿宋_GB2312" w:eastAsia="仿宋_GB2312" w:cs="仿宋_GB2312"/>
          <w:sz w:val="24"/>
          <w:szCs w:val="24"/>
          <w:highlight w:val="none"/>
          <w:lang w:val="en-US" w:eastAsia="zh-CN"/>
        </w:rPr>
        <w:t>备的基本条件及要求</w:t>
      </w:r>
    </w:p>
    <w:p w14:paraId="2825D2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1、承租人为境内外企业法人、具有独立承担民事责任能力的其他组织和具有完全民事行为能力的自然人。</w:t>
      </w:r>
    </w:p>
    <w:p w14:paraId="13F228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2、经营要求承租人必须合法、文明经营，自负盈亏，承担经营过程中发生的一切税费及相关责任。</w:t>
      </w:r>
    </w:p>
    <w:p w14:paraId="4A912D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3、承租人对竞得的标的只有经营权，所有权与处置权属于开封西湖文旅投资有限公司。承包人需自行负责</w:t>
      </w:r>
      <w:r>
        <w:rPr>
          <w:rFonts w:hint="eastAsia" w:ascii="仿宋_GB2312" w:hAnsi="仿宋_GB2312" w:eastAsia="仿宋_GB2312" w:cs="仿宋_GB2312"/>
          <w:kern w:val="2"/>
          <w:sz w:val="24"/>
          <w:szCs w:val="24"/>
          <w:highlight w:val="none"/>
          <w:lang w:val="en-US" w:eastAsia="zh-CN" w:bidi="ar-SA"/>
        </w:rPr>
        <w:t>银</w:t>
      </w:r>
      <w:r>
        <w:rPr>
          <w:rFonts w:hint="eastAsia" w:ascii="仿宋_GB2312" w:hAnsi="仿宋_GB2312" w:eastAsia="仿宋_GB2312" w:cs="仿宋_GB2312"/>
          <w:kern w:val="2"/>
          <w:sz w:val="24"/>
          <w:szCs w:val="24"/>
          <w:lang w:val="en-US" w:eastAsia="zh-CN" w:bidi="ar-SA"/>
        </w:rPr>
        <w:t>滩卡丁车训练营、银滩小火车项目</w:t>
      </w:r>
      <w:r>
        <w:rPr>
          <w:rFonts w:hint="eastAsia" w:ascii="仿宋_GB2312" w:hAnsi="仿宋_GB2312" w:eastAsia="仿宋_GB2312" w:cs="仿宋_GB2312"/>
          <w:sz w:val="24"/>
          <w:szCs w:val="24"/>
          <w:lang w:val="en-US" w:eastAsia="zh-CN"/>
        </w:rPr>
        <w:t>设施的日常管理、清洁和维护工作，确保设备设施的安全性和完好性，并配备专业的操作人员和服务人员，以确保游客的安全和游乐体验。</w:t>
      </w:r>
    </w:p>
    <w:p w14:paraId="5151F8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4、承租人需承担开封西湖文旅投资有限公司在2025年5月1日至签订合同之日已售卡券，直至消耗完毕。</w:t>
      </w:r>
    </w:p>
    <w:p w14:paraId="516EB7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5、安全管理要求承包人需建立完善的安全管理制度，确保游乐设施的安全运行。具体要求如下：</w:t>
      </w:r>
    </w:p>
    <w:p w14:paraId="1698F3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每日营业前对游乐设施进行全面检查，确保设备无故障、无安全隐患。</w:t>
      </w:r>
    </w:p>
    <w:p w14:paraId="4035F6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配备专业的安全管理人员及维护人员，负责现场的安全监督、应急处理和设备设施的维护保养。</w:t>
      </w:r>
    </w:p>
    <w:p w14:paraId="36451C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承租人需为银滩卡丁车训练营、银滩小火车项目购买足额的商业保险，以应对可能出现的安全事故。</w:t>
      </w:r>
    </w:p>
    <w:p w14:paraId="11E3DB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在经营区域设置明显的安全警示标识、安全须知及必要的围挡，提醒游客注意安全。</w:t>
      </w:r>
    </w:p>
    <w:p w14:paraId="56502C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•每日例行检查： 包括但不限于刹车效能、油门回位、方向盘松紧、轮胎磨损与气压、车身结构完整性、安全带功能，巡查赛道，确保无杂物、护栏无松动、轮胎墙无位移。</w:t>
      </w:r>
    </w:p>
    <w:p w14:paraId="57B647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•人员安全：顾客必须佩戴头盔，对所有顾客上场前必须进行安全培训，内容包括：基础操作、赛道规则、意外处理等。</w:t>
      </w:r>
    </w:p>
    <w:p w14:paraId="71B106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定期对操作人员进行安全培训，涵盖安全规范、服务流程、基础车辆知识、急救技能，确保其熟悉设备操作规程和应急处理流程。</w:t>
      </w:r>
    </w:p>
    <w:p w14:paraId="2B889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严格遵守库区管理规定，确保运营区域内的人员和设备安全，避免对游客造成干扰或安全隐患。</w:t>
      </w:r>
    </w:p>
    <w:p w14:paraId="1CAC90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采取必要措施防止卡丁车超区运营，防止车辆超区运营以发生危险。</w:t>
      </w:r>
    </w:p>
    <w:p w14:paraId="3F6368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Times New Roman" w:hAnsi="Times New Roman" w:eastAsia="仿宋_GB2312" w:cs="Times New Roman"/>
          <w:sz w:val="24"/>
          <w:szCs w:val="24"/>
          <w:lang w:val="en-US" w:eastAsia="zh-CN"/>
        </w:rPr>
        <w:t xml:space="preserve">• </w:t>
      </w:r>
      <w:r>
        <w:rPr>
          <w:rFonts w:hint="eastAsia" w:ascii="仿宋_GB2312" w:hAnsi="仿宋_GB2312" w:eastAsia="仿宋_GB2312" w:cs="仿宋_GB2312"/>
          <w:sz w:val="24"/>
          <w:szCs w:val="24"/>
          <w:lang w:val="en-US" w:eastAsia="zh-CN"/>
        </w:rPr>
        <w:t>小火车要在西湖公司指定的线路进行运营，严禁超区域运营。</w:t>
      </w:r>
    </w:p>
    <w:p w14:paraId="4EB9AB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承租人应在合同期间做好设备设施的维护维修，经营资料在合同期限结束时由甲方进行验收，应保持甲方交付时状态及数量，除电池、塑料件等正常老化除外。</w:t>
      </w:r>
    </w:p>
    <w:p w14:paraId="3BE352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6、承承租人对项目的所有对外宣传及广告需经过甲方审批同意。</w:t>
      </w:r>
    </w:p>
    <w:p w14:paraId="7D72371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7、</w:t>
      </w:r>
      <w:r>
        <w:rPr>
          <w:rFonts w:hint="eastAsia" w:ascii="仿宋_GB2312" w:hAnsi="仿宋_GB2312" w:eastAsia="仿宋_GB2312" w:cs="仿宋_GB2312"/>
          <w:sz w:val="24"/>
          <w:szCs w:val="24"/>
          <w:highlight w:val="none"/>
          <w:lang w:val="en-US" w:eastAsia="zh-CN"/>
        </w:rPr>
        <w:t>承租人自“拍卖成交确认书”签订之日起20个工作日内与发包方签订合同。签订经营权承包合同前，承包人需交纳履约保证金5万元。该履约保证金在合同终止或解除后7日内由出租人无息退还承包人，但因欠交相关费用及违约被扣除部分除外。</w:t>
      </w:r>
    </w:p>
    <w:p w14:paraId="4D03D7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8、</w:t>
      </w:r>
      <w:r>
        <w:rPr>
          <w:rFonts w:hint="eastAsia" w:ascii="仿宋_GB2312" w:hAnsi="仿宋_GB2312" w:eastAsia="仿宋_GB2312" w:cs="仿宋_GB2312"/>
          <w:sz w:val="24"/>
          <w:szCs w:val="24"/>
          <w:highlight w:val="none"/>
          <w:lang w:val="en-US" w:eastAsia="zh-CN"/>
        </w:rPr>
        <w:t>承租人需在经营期间遵守库区的统一管理，不得从事任何违法违规活动。需做好游客的安全引导工作，确保游客的人身安全，并保持经营区域的环境卫生，不得对周边环境造成污染或破坏。承</w:t>
      </w:r>
      <w:r>
        <w:rPr>
          <w:rFonts w:hint="eastAsia" w:ascii="仿宋_GB2312" w:hAnsi="仿宋_GB2312" w:eastAsia="仿宋_GB2312" w:cs="仿宋_GB2312"/>
          <w:sz w:val="24"/>
          <w:szCs w:val="24"/>
          <w:lang w:val="en-US" w:eastAsia="zh-CN"/>
        </w:rPr>
        <w:t xml:space="preserve">包人需在规定的运营区域内经营，不得超出划定范围。 </w:t>
      </w:r>
    </w:p>
    <w:p w14:paraId="15D917F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7FBF04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429824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2395D5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0B95EF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69A07A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057239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25F41A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5B1E48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905E7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645B1A8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C4AFC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1A2C6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F09ED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58014FC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57B1E8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注：最终以正式签订合同为准</w:t>
      </w:r>
    </w:p>
    <w:p w14:paraId="39BB811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sz w:val="24"/>
          <w:szCs w:val="24"/>
          <w:highlight w:val="yellow"/>
        </w:rPr>
      </w:pPr>
    </w:p>
    <w:p w14:paraId="7F7ECCAA">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val="en-US" w:eastAsia="zh-CN"/>
        </w:rPr>
        <w:t>银滩卡丁车训练营、银滩小火车项目经营权承包协议</w:t>
      </w:r>
    </w:p>
    <w:p w14:paraId="2045501C">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sz w:val="24"/>
          <w:szCs w:val="24"/>
        </w:rPr>
      </w:pPr>
    </w:p>
    <w:p w14:paraId="0545FD5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发包方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1940D07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208EB28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49B1A6E8">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0690D3C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49E3B89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138A91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r>
        <w:rPr>
          <w:rFonts w:hint="eastAsia" w:ascii="仿宋_GB2312" w:hAnsi="仿宋_GB2312" w:eastAsia="仿宋_GB2312" w:cs="仿宋_GB2312"/>
          <w:sz w:val="24"/>
          <w:szCs w:val="24"/>
          <w:u w:val="single"/>
          <w:lang w:val="en-US" w:eastAsia="zh-CN"/>
        </w:rPr>
        <w:t xml:space="preserve">                                  </w:t>
      </w:r>
    </w:p>
    <w:p w14:paraId="39A63C6C">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银滩卡丁车训练营、银滩小火车项目</w:t>
      </w:r>
      <w:r>
        <w:rPr>
          <w:rFonts w:hint="eastAsia" w:ascii="仿宋_GB2312" w:hAnsi="仿宋_GB2312" w:eastAsia="仿宋_GB2312" w:cs="仿宋_GB2312"/>
          <w:sz w:val="24"/>
          <w:szCs w:val="24"/>
        </w:rPr>
        <w:t>经营权一事，为明确双方的权利、义务及相关事宜，特订立如下协议：</w:t>
      </w:r>
    </w:p>
    <w:p w14:paraId="2F8AF4BD">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091BC6FF">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w:t>
      </w:r>
      <w:r>
        <w:rPr>
          <w:rFonts w:hint="eastAsia" w:ascii="仿宋_GB2312" w:hAnsi="仿宋_GB2312" w:eastAsia="仿宋_GB2312" w:cs="仿宋_GB2312"/>
          <w:sz w:val="24"/>
          <w:szCs w:val="24"/>
          <w:lang w:val="en-US" w:eastAsia="zh-CN"/>
        </w:rPr>
        <w:t>位于库区西岸二号岗内和库区范围内银滩卡丁车训练营、银滩小火车项目。</w:t>
      </w:r>
    </w:p>
    <w:p w14:paraId="4BD96CB2">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2、该项目由甲方提供运营资料（清单见附1）。该项目包含银滩卡丁车训练营（包含银滩卡丁车训练营跑道500米、售票房、仓库2间、便民超市一间经营权）、银滩小火车经营权（限定两辆小火车）。</w:t>
      </w:r>
    </w:p>
    <w:p w14:paraId="09A821EE">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经营权期限为3年</w:t>
      </w:r>
      <w:r>
        <w:rPr>
          <w:rFonts w:hint="eastAsia" w:ascii="仿宋_GB2312" w:hAnsi="仿宋_GB2312" w:eastAsia="仿宋_GB2312" w:cs="仿宋_GB2312"/>
          <w:sz w:val="24"/>
          <w:szCs w:val="24"/>
          <w:lang w:eastAsia="zh-CN"/>
        </w:rPr>
        <w:t>。</w:t>
      </w:r>
    </w:p>
    <w:p w14:paraId="7936E958">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1E85473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30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2025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14F44CD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lang w:val="en-US" w:eastAsia="zh-CN"/>
        </w:rPr>
        <w:t xml:space="preserve"> 3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2025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2028</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2DFC42D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71037BAC">
      <w:pPr>
        <w:pStyle w:val="2"/>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450863D5">
      <w:pPr>
        <w:pStyle w:val="7"/>
        <w:keepNext w:val="0"/>
        <w:keepLines w:val="0"/>
        <w:pageBreakBefore w:val="0"/>
        <w:widowControl w:val="0"/>
        <w:kinsoku/>
        <w:wordWrap/>
        <w:overflowPunct/>
        <w:topLinePunct w:val="0"/>
        <w:autoSpaceDE/>
        <w:autoSpaceDN/>
        <w:bidi w:val="0"/>
        <w:adjustRightInd/>
        <w:spacing w:line="420" w:lineRule="exact"/>
        <w:ind w:firstLine="5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u w:val="single"/>
          <w:lang w:val="en-US" w:eastAsia="zh-CN"/>
        </w:rPr>
        <w:t>伍</w:t>
      </w:r>
      <w:r>
        <w:rPr>
          <w:rFonts w:hint="eastAsia" w:ascii="仿宋_GB2312" w:hAnsi="仿宋_GB2312" w:eastAsia="仿宋_GB2312" w:cs="仿宋_GB2312"/>
          <w:sz w:val="24"/>
          <w:szCs w:val="24"/>
          <w:u w:val="single"/>
        </w:rPr>
        <w:t>万元整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0000</w:t>
      </w:r>
      <w:r>
        <w:rPr>
          <w:rFonts w:hint="eastAsia" w:ascii="仿宋_GB2312" w:hAnsi="仿宋_GB2312" w:eastAsia="仿宋_GB2312" w:cs="仿宋_GB2312"/>
          <w:sz w:val="24"/>
          <w:szCs w:val="24"/>
        </w:rPr>
        <w:t>元。合同签订前乙方向甲方指定账户通过转账方式支付履约保证金。该履约保证金在合同终止或解除后7日内由甲方无息退还乙方，但乙方因欠交相关费用及违约被扣除部分除外。</w:t>
      </w:r>
    </w:p>
    <w:p w14:paraId="6C70A017">
      <w:pPr>
        <w:pStyle w:val="2"/>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上述租金不包括用电、供水、垃圾处理、泔水处理、安全防护等费用。用电、供水、垃圾处理、泔水处理、安全防护等费用由乙方按照相关部门规定承担。</w:t>
      </w:r>
    </w:p>
    <w:p w14:paraId="5BA245A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523F8C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在本合同生效之日起7日内，由乙方支付至甲方指定账户；第二年、第三年的</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0BCC80DB">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7AB371DE">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none"/>
        </w:rPr>
        <w:t>（2）</w:t>
      </w:r>
      <w:r>
        <w:rPr>
          <w:rFonts w:hint="eastAsia" w:ascii="仿宋_GB2312" w:hAnsi="仿宋_GB2312" w:eastAsia="仿宋_GB2312" w:cs="仿宋_GB2312"/>
          <w:sz w:val="24"/>
          <w:szCs w:val="24"/>
          <w:u w:val="single"/>
        </w:rPr>
        <w:t xml:space="preserve">开户行：中国银行新区支行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66CDBBAD">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rPr>
        <w:t>（3）</w:t>
      </w:r>
      <w:r>
        <w:rPr>
          <w:rFonts w:hint="eastAsia" w:ascii="仿宋_GB2312" w:hAnsi="仿宋_GB2312" w:eastAsia="仿宋_GB2312" w:cs="仿宋_GB2312"/>
          <w:sz w:val="24"/>
          <w:szCs w:val="24"/>
          <w:u w:val="single"/>
        </w:rPr>
        <w:t xml:space="preserve">银行账号：253346541978 </w:t>
      </w:r>
      <w:r>
        <w:rPr>
          <w:rFonts w:hint="eastAsia" w:ascii="仿宋_GB2312" w:hAnsi="仿宋_GB2312" w:eastAsia="仿宋_GB2312" w:cs="仿宋_GB2312"/>
          <w:sz w:val="24"/>
          <w:szCs w:val="24"/>
          <w:u w:val="single"/>
          <w:lang w:val="en-US" w:eastAsia="zh-CN"/>
        </w:rPr>
        <w:t xml:space="preserve">         </w:t>
      </w:r>
    </w:p>
    <w:p w14:paraId="19470F7C">
      <w:pPr>
        <w:pStyle w:val="7"/>
        <w:keepNext w:val="0"/>
        <w:keepLines w:val="0"/>
        <w:pageBreakBefore w:val="0"/>
        <w:widowControl w:val="0"/>
        <w:kinsoku/>
        <w:wordWrap/>
        <w:overflowPunct/>
        <w:topLinePunct w:val="0"/>
        <w:autoSpaceDE/>
        <w:autoSpaceDN/>
        <w:bidi w:val="0"/>
        <w:adjustRightInd/>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后须向乙方出具正式发票或收据。</w:t>
      </w:r>
    </w:p>
    <w:p w14:paraId="4F2DB47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214E7BE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14F2F74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2、协助乙方用电相关事宜。</w:t>
      </w:r>
    </w:p>
    <w:p w14:paraId="18C7E04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环境卫生、人员健康、消防安全等方面进行检查，对不符合规定要求的，甲方有权要求乙方立即整改，并以书面形式通知乙方，如连续两次出现上述问题，甲方有权单方面解除合同，并视作乙方违约。</w:t>
      </w:r>
    </w:p>
    <w:p w14:paraId="3A194BE5">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见附1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23780E7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收验设施</w:t>
      </w: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；收验合格，费用结清，办理收验交接手续。</w:t>
      </w:r>
    </w:p>
    <w:p w14:paraId="1106FA8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期间内遇不可抗力、水库规划调整、政府行为、相关政策变化或行业主管部门政策需终止合同的，甲方提前一个月通知乙方办理退租手续。</w:t>
      </w:r>
    </w:p>
    <w:p w14:paraId="027B652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157F79FA">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乙方应在本合同签订之日起，在约定的经营权免承包款期内完成银滩卡丁车训练营、银滩小火车项目进场工作。</w:t>
      </w:r>
    </w:p>
    <w:p w14:paraId="76A3462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乙方需承担甲方在合同签订前已售卡券，直至消耗完毕。</w:t>
      </w:r>
    </w:p>
    <w:p w14:paraId="0EB72A7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严格执行国家法律法规和甲方的相关管理规定，且只能在本次中标之范围内合法文明经营，不得超区域或</w:t>
      </w:r>
      <w:r>
        <w:rPr>
          <w:rFonts w:hint="eastAsia" w:ascii="仿宋_GB2312" w:hAnsi="仿宋_GB2312" w:eastAsia="仿宋_GB2312" w:cs="仿宋_GB2312"/>
          <w:sz w:val="24"/>
          <w:szCs w:val="24"/>
          <w:lang w:val="en-US" w:eastAsia="zh-CN"/>
        </w:rPr>
        <w:t>超出约定业态</w:t>
      </w:r>
      <w:r>
        <w:rPr>
          <w:rFonts w:hint="eastAsia" w:ascii="仿宋_GB2312" w:hAnsi="仿宋_GB2312" w:eastAsia="仿宋_GB2312" w:cs="仿宋_GB2312"/>
          <w:sz w:val="24"/>
          <w:szCs w:val="24"/>
        </w:rPr>
        <w:t>经营。</w:t>
      </w:r>
    </w:p>
    <w:p w14:paraId="2DA0AA1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小火车要在甲方指定的线路进行运营，严禁超区域运营。</w:t>
      </w:r>
    </w:p>
    <w:p w14:paraId="35D065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且需建立完善的安全管理制度，确保游乐设施的安全运行。具体要求如下：</w:t>
      </w:r>
    </w:p>
    <w:p w14:paraId="7BEC36E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每日营业前对游乐设施进行全面检查，确保设备无故障、无安全隐患。</w:t>
      </w:r>
    </w:p>
    <w:p w14:paraId="330355C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配备专业的安全管理人员及维护人员，负责现场的安全监督、应急处理和设备设施的维护保养。</w:t>
      </w:r>
    </w:p>
    <w:p w14:paraId="5A02ED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承租人需为银滩卡丁车训练营、银滩小火车项目购买足额的商业保险，以应对可能出现的安全事故。</w:t>
      </w:r>
    </w:p>
    <w:p w14:paraId="6BE96DA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在经营区域设置明显的安全警示标识、安全须知及必要的围挡，提醒游客注意安全。</w:t>
      </w:r>
    </w:p>
    <w:p w14:paraId="62F4421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每日例行检查： 包括但不限于刹车效能、油门回位、方向盘松紧、轮胎磨损与气压、车身结构完整性、安全带功能，巡查赛道，确保无杂物、护栏无松动、轮胎墙无位移。</w:t>
      </w:r>
    </w:p>
    <w:p w14:paraId="71B6A4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人员安全：顾客必须佩戴头盔，对所有顾客上场前必须进行安全培训，内容包括：基础操作、赛道规则、意外处理等。 </w:t>
      </w:r>
    </w:p>
    <w:p w14:paraId="536CEE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定期对操作人员进行安全培训，涵盖安全规范、服务流程、基础车辆知识、急救技能，确保其熟悉设备操作规程和应急处理流程。</w:t>
      </w:r>
    </w:p>
    <w:p w14:paraId="1CA943F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严格遵守库区管理规定，确保运营区域内的人员和设备安全，避免对游客造成干扰或安全隐患。</w:t>
      </w:r>
    </w:p>
    <w:p w14:paraId="34CEF67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采取必要措施防止卡丁车超区运营，防止车辆超区运营以发生危险。</w:t>
      </w:r>
    </w:p>
    <w:p w14:paraId="48280B8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一旦出现安全责任事故及纠纷，由此</w:t>
      </w:r>
      <w:r>
        <w:rPr>
          <w:rFonts w:hint="eastAsia" w:ascii="仿宋_GB2312" w:hAnsi="仿宋_GB2312" w:eastAsia="仿宋_GB2312" w:cs="仿宋_GB2312"/>
          <w:sz w:val="24"/>
          <w:szCs w:val="24"/>
        </w:rPr>
        <w:t>造成的一切法律后果均由乙方承担。</w:t>
      </w:r>
    </w:p>
    <w:p w14:paraId="79D3D9D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乙方应维护好甲方提供的设备设施，负责保养</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维修等工作，待该协议结束或终止时经营资料（甲方提供的所有设施、设备）由甲方进行验收，应保持甲方交付时状态及数量（除电池、塑料件正常老化除外），损坏、遗失部分由乙方进行维修或照价赔偿。</w:t>
      </w:r>
    </w:p>
    <w:p w14:paraId="033AD01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248341D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8、在甲方指定地点进行充电，并按库区电费收费标准规定及时向甲方交纳电费。</w:t>
      </w:r>
    </w:p>
    <w:p w14:paraId="143C862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w:t>
      </w:r>
      <w:r>
        <w:rPr>
          <w:rFonts w:hint="eastAsia" w:ascii="仿宋_GB2312" w:hAnsi="仿宋_GB2312" w:eastAsia="仿宋_GB2312" w:cs="仿宋_GB2312"/>
          <w:sz w:val="24"/>
          <w:szCs w:val="24"/>
          <w:lang w:val="en-US" w:eastAsia="zh-CN"/>
        </w:rPr>
        <w:t>报甲方同意后，</w:t>
      </w:r>
      <w:r>
        <w:rPr>
          <w:rFonts w:hint="eastAsia" w:ascii="仿宋_GB2312" w:hAnsi="仿宋_GB2312" w:eastAsia="仿宋_GB2312" w:cs="仿宋_GB2312"/>
          <w:sz w:val="24"/>
          <w:szCs w:val="24"/>
        </w:rPr>
        <w:t>可根据经营需要增添附设备、设施，但不得影响</w:t>
      </w:r>
      <w:r>
        <w:rPr>
          <w:rFonts w:hint="eastAsia" w:ascii="仿宋_GB2312" w:hAnsi="仿宋_GB2312" w:eastAsia="仿宋_GB2312" w:cs="仿宋_GB2312"/>
          <w:sz w:val="24"/>
          <w:szCs w:val="24"/>
          <w:lang w:val="en-US" w:eastAsia="zh-CN"/>
        </w:rPr>
        <w:t>项目经营范围内整体形象及安全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511CBFC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、自行办理营业执照、相关行业证照、税务登记等证照，承担经营所发生的一切税费并承担相关责任，并在经营过程中规范用工，因乙方违法违规经营或其他违法违规行为造成的后果及损失由乙方自行承担。</w:t>
      </w:r>
    </w:p>
    <w:p w14:paraId="6139CFB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6004951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期间，乙方对经营安全负全部责任，自行采取防火、防盗等安全措施。加强用电安全，不得乱拖、乱接电线；乙方所造成的一切安全隐患（包括但不限于任何人身损害、财产损失），由乙方承担全责。</w:t>
      </w:r>
    </w:p>
    <w:p w14:paraId="21B790C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、乙方不得将</w:t>
      </w:r>
      <w:r>
        <w:rPr>
          <w:rFonts w:hint="eastAsia" w:ascii="仿宋_GB2312" w:hAnsi="仿宋_GB2312" w:eastAsia="仿宋_GB2312" w:cs="仿宋_GB2312"/>
          <w:sz w:val="24"/>
          <w:szCs w:val="24"/>
          <w:lang w:val="en-US" w:eastAsia="zh-CN"/>
        </w:rPr>
        <w:t>该项目经营权</w:t>
      </w:r>
      <w:r>
        <w:rPr>
          <w:rFonts w:hint="eastAsia" w:ascii="仿宋_GB2312" w:hAnsi="仿宋_GB2312" w:eastAsia="仿宋_GB2312" w:cs="仿宋_GB2312"/>
          <w:sz w:val="24"/>
          <w:szCs w:val="24"/>
        </w:rPr>
        <w:t>转让给第三方，不得将</w:t>
      </w:r>
      <w:r>
        <w:rPr>
          <w:rFonts w:hint="eastAsia" w:ascii="仿宋_GB2312" w:hAnsi="仿宋_GB2312" w:eastAsia="仿宋_GB2312" w:cs="仿宋_GB2312"/>
          <w:sz w:val="24"/>
          <w:szCs w:val="24"/>
          <w:lang w:val="en-US" w:eastAsia="zh-CN"/>
        </w:rPr>
        <w:t>经营权承包场地</w:t>
      </w:r>
      <w:r>
        <w:rPr>
          <w:rFonts w:hint="eastAsia" w:ascii="仿宋_GB2312" w:hAnsi="仿宋_GB2312" w:eastAsia="仿宋_GB2312" w:cs="仿宋_GB2312"/>
          <w:sz w:val="24"/>
          <w:szCs w:val="24"/>
        </w:rPr>
        <w:t>用作抵（质）押、转让，不得以甲方名义进行经营和广告宣传活动</w:t>
      </w:r>
      <w:r>
        <w:rPr>
          <w:rFonts w:hint="eastAsia" w:ascii="仿宋_GB2312" w:hAnsi="仿宋_GB2312" w:eastAsia="仿宋_GB2312" w:cs="仿宋_GB2312"/>
          <w:sz w:val="24"/>
          <w:szCs w:val="24"/>
          <w:lang w:val="en-US" w:eastAsia="zh-CN"/>
        </w:rPr>
        <w:t>，乙方对项目的所有对外宣传及广告需经过甲方审批同意。</w:t>
      </w:r>
    </w:p>
    <w:p w14:paraId="5EB8910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、乙方需做好项目运营区域及周边的环境保护及卫生清理工作，</w:t>
      </w:r>
    </w:p>
    <w:p w14:paraId="649AFEE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如因乙方运营原因造成周边环境（如绿化、地面铺装等）破坏或污染，维修及更换费用由乙方承担。</w:t>
      </w:r>
    </w:p>
    <w:p w14:paraId="7C5F959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、乙方经营期间所雇佣的工作人员的工资、福利待遇、工伤、医疗、养老等保险费用及其他费用、工作人员人身财产安全均由乙方负责。乙方保证所雇佣人员符合相关法律法规的资质要求。</w:t>
      </w:r>
    </w:p>
    <w:p w14:paraId="1CC3249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合同。</w:t>
      </w:r>
    </w:p>
    <w:p w14:paraId="22702031">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7170EAC1">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3D6F8B73">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F70404F">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17468381">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43470CD5">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乙方在使用场地过程中违反本合同约定或甲方管理规定的，甲方有权解除合同，同时乙方应全额赔偿因此给甲方造成的损失。</w:t>
      </w:r>
    </w:p>
    <w:p w14:paraId="4C4CC449">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5B60F957">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内的物品和设备，甲方有权自行处置，由此产生的费用甲方有权向乙方追偿，且乙方应按合同总金额每日万分之五向甲方支付违约金。</w:t>
      </w:r>
    </w:p>
    <w:p w14:paraId="2E446A4D">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0B58981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6EE2BE7E">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788AA9B7">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4BD70F5F">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2475AFC3">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65CA40B8">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0AECD25E">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5AD66701">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49BA39A9">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12D2ACD2">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48E80061">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5E0403A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7FA7FA3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59EC4DB5">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17B701D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1AF8736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2DA7223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063F15B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（以下无正文）</w:t>
      </w:r>
    </w:p>
    <w:p w14:paraId="34FF7FF5">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001EEF35">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5F181FF9">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439F64D3">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726BCAA1">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5DC3C8BD">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p>
    <w:p w14:paraId="6A20DA6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附1：</w:t>
      </w:r>
    </w:p>
    <w:tbl>
      <w:tblPr>
        <w:tblStyle w:val="5"/>
        <w:tblW w:w="4857" w:type="pct"/>
        <w:jc w:val="center"/>
        <w:tblLayout w:type="fixed"/>
        <w:tblCellMar>
          <w:top w:w="0" w:type="dxa"/>
          <w:left w:w="108" w:type="dxa"/>
          <w:bottom w:w="0" w:type="dxa"/>
          <w:right w:w="108" w:type="dxa"/>
        </w:tblCellMar>
      </w:tblPr>
      <w:tblGrid>
        <w:gridCol w:w="692"/>
        <w:gridCol w:w="1659"/>
        <w:gridCol w:w="1219"/>
        <w:gridCol w:w="3668"/>
        <w:gridCol w:w="439"/>
        <w:gridCol w:w="602"/>
      </w:tblGrid>
      <w:tr w14:paraId="768688C5">
        <w:tblPrEx>
          <w:tblCellMar>
            <w:top w:w="0" w:type="dxa"/>
            <w:left w:w="108" w:type="dxa"/>
            <w:bottom w:w="0" w:type="dxa"/>
            <w:right w:w="108" w:type="dxa"/>
          </w:tblCellMar>
        </w:tblPrEx>
        <w:trPr>
          <w:trHeight w:val="6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06BA58D">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银滩卡丁车训练营</w:t>
            </w:r>
          </w:p>
        </w:tc>
      </w:tr>
      <w:tr w14:paraId="3891A92F">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ED559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41512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01FF1C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215" w:type="pct"/>
            <w:tcBorders>
              <w:top w:val="single" w:color="000000" w:sz="4" w:space="0"/>
              <w:left w:val="single" w:color="000000" w:sz="4" w:space="0"/>
              <w:bottom w:val="single" w:color="000000" w:sz="4" w:space="0"/>
              <w:right w:val="single" w:color="000000" w:sz="4" w:space="0"/>
            </w:tcBorders>
            <w:vAlign w:val="center"/>
          </w:tcPr>
          <w:p w14:paraId="4D900D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7B31B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0A00DB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4611C433">
        <w:tblPrEx>
          <w:tblCellMar>
            <w:top w:w="0" w:type="dxa"/>
            <w:left w:w="108" w:type="dxa"/>
            <w:bottom w:w="0" w:type="dxa"/>
            <w:right w:w="108" w:type="dxa"/>
          </w:tblCellMar>
        </w:tblPrEx>
        <w:trPr>
          <w:trHeight w:val="43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3EC6F7E">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监控类</w:t>
            </w:r>
          </w:p>
        </w:tc>
      </w:tr>
      <w:tr w14:paraId="2B738329">
        <w:tblPrEx>
          <w:tblCellMar>
            <w:top w:w="0" w:type="dxa"/>
            <w:left w:w="108" w:type="dxa"/>
            <w:bottom w:w="0" w:type="dxa"/>
            <w:right w:w="108" w:type="dxa"/>
          </w:tblCellMar>
        </w:tblPrEx>
        <w:trPr>
          <w:trHeight w:val="40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A006A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1A3DCF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监控显示设备</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C3E6D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创维43寸</w:t>
            </w:r>
          </w:p>
        </w:tc>
        <w:tc>
          <w:tcPr>
            <w:tcW w:w="2215" w:type="pct"/>
            <w:tcBorders>
              <w:top w:val="single" w:color="000000" w:sz="4" w:space="0"/>
              <w:left w:val="single" w:color="000000" w:sz="4" w:space="0"/>
              <w:bottom w:val="single" w:color="000000" w:sz="4" w:space="0"/>
              <w:right w:val="single" w:color="000000" w:sz="4" w:space="0"/>
            </w:tcBorders>
            <w:vAlign w:val="center"/>
          </w:tcPr>
          <w:p w14:paraId="76C23096">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60D62D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66742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925F7E5">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F021A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4937C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硬盘录像机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9C9BB7A">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Cs w:val="21"/>
              </w:rPr>
              <w:t>TPlink 6832E-T</w:t>
            </w:r>
          </w:p>
        </w:tc>
        <w:tc>
          <w:tcPr>
            <w:tcW w:w="2215" w:type="pct"/>
            <w:tcBorders>
              <w:top w:val="single" w:color="000000" w:sz="4" w:space="0"/>
              <w:left w:val="single" w:color="000000" w:sz="4" w:space="0"/>
              <w:bottom w:val="single" w:color="000000" w:sz="4" w:space="0"/>
              <w:right w:val="single" w:color="000000" w:sz="4" w:space="0"/>
            </w:tcBorders>
            <w:vAlign w:val="center"/>
          </w:tcPr>
          <w:p w14:paraId="6129D8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32路8盘位</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AA88D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A7B15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A8F6511">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36EB1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D731679">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监控硬盘</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E79CC83">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希捷8T 监控盘</w:t>
            </w:r>
          </w:p>
        </w:tc>
        <w:tc>
          <w:tcPr>
            <w:tcW w:w="2215" w:type="pct"/>
            <w:tcBorders>
              <w:top w:val="single" w:color="000000" w:sz="4" w:space="0"/>
              <w:left w:val="single" w:color="000000" w:sz="4" w:space="0"/>
              <w:bottom w:val="single" w:color="000000" w:sz="4" w:space="0"/>
              <w:right w:val="single" w:color="000000" w:sz="4" w:space="0"/>
            </w:tcBorders>
            <w:vAlign w:val="center"/>
          </w:tcPr>
          <w:p w14:paraId="1AC46F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单块硬盘8T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22504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BD74C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329EECBF">
        <w:tblPrEx>
          <w:tblCellMar>
            <w:top w:w="0" w:type="dxa"/>
            <w:left w:w="108" w:type="dxa"/>
            <w:bottom w:w="0" w:type="dxa"/>
            <w:right w:w="108" w:type="dxa"/>
          </w:tblCellMar>
        </w:tblPrEx>
        <w:trPr>
          <w:trHeight w:val="37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EF0DD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260F2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摄像头</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F7821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 332PW</w:t>
            </w:r>
          </w:p>
        </w:tc>
        <w:tc>
          <w:tcPr>
            <w:tcW w:w="2215" w:type="pct"/>
            <w:tcBorders>
              <w:top w:val="single" w:color="000000" w:sz="4" w:space="0"/>
              <w:left w:val="single" w:color="000000" w:sz="4" w:space="0"/>
              <w:bottom w:val="single" w:color="000000" w:sz="4" w:space="0"/>
              <w:right w:val="single" w:color="000000" w:sz="4" w:space="0"/>
            </w:tcBorders>
            <w:vAlign w:val="center"/>
          </w:tcPr>
          <w:p w14:paraId="6F1115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300万POE摄像头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D6B66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5B088A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346461DC">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28242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44A5091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交换机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16119A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FCS1508M</w:t>
            </w:r>
          </w:p>
        </w:tc>
        <w:tc>
          <w:tcPr>
            <w:tcW w:w="2215" w:type="pct"/>
            <w:tcBorders>
              <w:top w:val="single" w:color="000000" w:sz="4" w:space="0"/>
              <w:left w:val="single" w:color="000000" w:sz="4" w:space="0"/>
              <w:bottom w:val="single" w:color="000000" w:sz="4" w:space="0"/>
              <w:right w:val="single" w:color="000000" w:sz="4" w:space="0"/>
            </w:tcBorders>
            <w:vAlign w:val="center"/>
          </w:tcPr>
          <w:p w14:paraId="4A802B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8口千兆交换机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3639CF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77A55C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94DCDC5">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DED34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25E6B8B9">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AE5782C">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MS08CP-M</w:t>
            </w:r>
          </w:p>
        </w:tc>
        <w:tc>
          <w:tcPr>
            <w:tcW w:w="2215" w:type="pct"/>
            <w:tcBorders>
              <w:top w:val="single" w:color="000000" w:sz="4" w:space="0"/>
              <w:left w:val="single" w:color="000000" w:sz="4" w:space="0"/>
              <w:bottom w:val="single" w:color="000000" w:sz="4" w:space="0"/>
              <w:right w:val="single" w:color="000000" w:sz="4" w:space="0"/>
            </w:tcBorders>
            <w:vAlign w:val="center"/>
          </w:tcPr>
          <w:p w14:paraId="63DA995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总65W/单口15.4W，8百兆POE口+2千兆上联口</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8122B2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90CF9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E8C01CF">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8FBCF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1890F7E4">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108C1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MS05CP-M</w:t>
            </w:r>
          </w:p>
        </w:tc>
        <w:tc>
          <w:tcPr>
            <w:tcW w:w="2215" w:type="pct"/>
            <w:tcBorders>
              <w:top w:val="single" w:color="000000" w:sz="4" w:space="0"/>
              <w:left w:val="single" w:color="000000" w:sz="4" w:space="0"/>
              <w:bottom w:val="single" w:color="000000" w:sz="4" w:space="0"/>
              <w:right w:val="single" w:color="000000" w:sz="4" w:space="0"/>
            </w:tcBorders>
            <w:vAlign w:val="center"/>
          </w:tcPr>
          <w:p w14:paraId="5057CE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总43W/单口15.4W，4百兆POE口+1百兆上联口</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9EABC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608C6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2B4617AC">
        <w:tblPrEx>
          <w:tblCellMar>
            <w:top w:w="0" w:type="dxa"/>
            <w:left w:w="108" w:type="dxa"/>
            <w:bottom w:w="0" w:type="dxa"/>
            <w:right w:w="108" w:type="dxa"/>
          </w:tblCellMar>
        </w:tblPrEx>
        <w:trPr>
          <w:trHeight w:val="46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93EEF8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87B339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监控立杆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C3915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E026CA1">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B64E1E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460521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r>
      <w:tr w14:paraId="421D91CE">
        <w:tblPrEx>
          <w:tblCellMar>
            <w:top w:w="0" w:type="dxa"/>
            <w:left w:w="108" w:type="dxa"/>
            <w:bottom w:w="0" w:type="dxa"/>
            <w:right w:w="108" w:type="dxa"/>
          </w:tblCellMar>
        </w:tblPrEx>
        <w:trPr>
          <w:trHeight w:val="54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0AC03A7">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9</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BA857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机柜</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5135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1E700E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6U壁挂机柜，550cm*400cm*300cm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A08D75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组</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DE520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EB04793">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CADB35B">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0</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1B6B5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监控装配箱</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8D628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E867E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28cm*19mm*9.5</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4829C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EDCAC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r>
      <w:tr w14:paraId="172DAB89">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0B5E78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49070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监控支架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C7EA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681E6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鸭嘴型或万向支架</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F2E7A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20E29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48B1B03E">
        <w:tblPrEx>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0ED94E7">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防撞轮胎</w:t>
            </w:r>
          </w:p>
        </w:tc>
      </w:tr>
      <w:tr w14:paraId="29FB6E5D">
        <w:tblPrEx>
          <w:tblCellMar>
            <w:top w:w="0" w:type="dxa"/>
            <w:left w:w="108" w:type="dxa"/>
            <w:bottom w:w="0" w:type="dxa"/>
            <w:right w:w="108" w:type="dxa"/>
          </w:tblCellMar>
        </w:tblPrEx>
        <w:trPr>
          <w:trHeight w:val="38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56BFC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ABBB5C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汽车轮胎</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F0233A0">
            <w:pPr>
              <w:jc w:val="center"/>
              <w:rPr>
                <w:rFonts w:hint="eastAsia" w:ascii="仿宋_GB2312" w:hAnsi="仿宋_GB2312" w:eastAsia="仿宋_GB2312" w:cs="仿宋_GB2312"/>
                <w:color w:val="000000"/>
                <w:szCs w:val="21"/>
              </w:rPr>
            </w:pPr>
          </w:p>
        </w:tc>
        <w:tc>
          <w:tcPr>
            <w:tcW w:w="2215" w:type="pct"/>
            <w:tcBorders>
              <w:top w:val="single" w:color="000000" w:sz="4" w:space="0"/>
              <w:left w:val="single" w:color="000000" w:sz="4" w:space="0"/>
              <w:bottom w:val="single" w:color="000000" w:sz="4" w:space="0"/>
              <w:right w:val="single" w:color="000000" w:sz="4" w:space="0"/>
            </w:tcBorders>
            <w:vAlign w:val="center"/>
          </w:tcPr>
          <w:p w14:paraId="22D033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1.废旧汽车轮胎</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B53848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条</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E94F3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2</w:t>
            </w:r>
            <w:r>
              <w:rPr>
                <w:rFonts w:hint="eastAsia" w:ascii="仿宋_GB2312" w:hAnsi="仿宋_GB2312" w:eastAsia="仿宋_GB2312" w:cs="仿宋_GB2312"/>
                <w:color w:val="000000"/>
                <w:kern w:val="0"/>
                <w:szCs w:val="21"/>
              </w:rPr>
              <w:t>00</w:t>
            </w:r>
          </w:p>
        </w:tc>
      </w:tr>
      <w:tr w14:paraId="0140B158">
        <w:tblPrEx>
          <w:tblCellMar>
            <w:top w:w="0" w:type="dxa"/>
            <w:left w:w="108" w:type="dxa"/>
            <w:bottom w:w="0" w:type="dxa"/>
            <w:right w:w="108" w:type="dxa"/>
          </w:tblCellMar>
        </w:tblPrEx>
        <w:trPr>
          <w:trHeight w:val="463"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755E139">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空调</w:t>
            </w:r>
          </w:p>
        </w:tc>
      </w:tr>
      <w:tr w14:paraId="7AAE2218">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7DC6E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767EC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柜机空调</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9BF8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KFR-72LW/W12-1一级能耗（美的）</w:t>
            </w:r>
          </w:p>
        </w:tc>
        <w:tc>
          <w:tcPr>
            <w:tcW w:w="2215" w:type="pct"/>
            <w:tcBorders>
              <w:top w:val="single" w:color="000000" w:sz="4" w:space="0"/>
              <w:left w:val="single" w:color="000000" w:sz="4" w:space="0"/>
              <w:bottom w:val="single" w:color="000000" w:sz="4" w:space="0"/>
              <w:right w:val="single" w:color="000000" w:sz="4" w:space="0"/>
            </w:tcBorders>
            <w:vAlign w:val="center"/>
          </w:tcPr>
          <w:p w14:paraId="671662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2.型号:3匹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4.安装形式:落地安装</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8F64C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F591A7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8E346FA">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2F3A1B0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auto" w:sz="4" w:space="0"/>
              <w:right w:val="single" w:color="000000" w:sz="4" w:space="0"/>
            </w:tcBorders>
            <w:noWrap/>
            <w:vAlign w:val="center"/>
          </w:tcPr>
          <w:p w14:paraId="6A61141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挂机空调</w:t>
            </w:r>
          </w:p>
        </w:tc>
        <w:tc>
          <w:tcPr>
            <w:tcW w:w="736" w:type="pct"/>
            <w:tcBorders>
              <w:top w:val="single" w:color="000000" w:sz="4" w:space="0"/>
              <w:left w:val="single" w:color="000000" w:sz="4" w:space="0"/>
              <w:bottom w:val="single" w:color="auto" w:sz="4" w:space="0"/>
              <w:right w:val="single" w:color="000000" w:sz="4" w:space="0"/>
            </w:tcBorders>
            <w:noWrap/>
            <w:vAlign w:val="center"/>
          </w:tcPr>
          <w:p w14:paraId="132489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KFR-35GW/A11一级能耗（美的）</w:t>
            </w:r>
          </w:p>
        </w:tc>
        <w:tc>
          <w:tcPr>
            <w:tcW w:w="2215" w:type="pct"/>
            <w:tcBorders>
              <w:top w:val="single" w:color="000000" w:sz="4" w:space="0"/>
              <w:left w:val="single" w:color="000000" w:sz="4" w:space="0"/>
              <w:bottom w:val="single" w:color="auto" w:sz="4" w:space="0"/>
              <w:right w:val="single" w:color="000000" w:sz="4" w:space="0"/>
            </w:tcBorders>
            <w:vAlign w:val="center"/>
          </w:tcPr>
          <w:p w14:paraId="2652F3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2.型号:1.5匹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4.安装形式:墙壁安装</w:t>
            </w:r>
          </w:p>
        </w:tc>
        <w:tc>
          <w:tcPr>
            <w:tcW w:w="265" w:type="pct"/>
            <w:tcBorders>
              <w:top w:val="single" w:color="000000" w:sz="4" w:space="0"/>
              <w:left w:val="single" w:color="000000" w:sz="4" w:space="0"/>
              <w:bottom w:val="single" w:color="auto" w:sz="4" w:space="0"/>
              <w:right w:val="single" w:color="000000" w:sz="4" w:space="0"/>
            </w:tcBorders>
            <w:noWrap/>
            <w:vAlign w:val="center"/>
          </w:tcPr>
          <w:p w14:paraId="1060822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194731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3FB5024">
        <w:tblPrEx>
          <w:tblCellMar>
            <w:top w:w="0" w:type="dxa"/>
            <w:left w:w="108" w:type="dxa"/>
            <w:bottom w:w="0" w:type="dxa"/>
            <w:right w:w="108" w:type="dxa"/>
          </w:tblCellMar>
        </w:tblPrEx>
        <w:trPr>
          <w:trHeight w:val="50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8A2D9C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宣传墙</w:t>
            </w:r>
          </w:p>
        </w:tc>
      </w:tr>
      <w:tr w14:paraId="35BAA784">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3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30C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电视机</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B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小米70寸电视</w:t>
            </w:r>
          </w:p>
        </w:tc>
        <w:tc>
          <w:tcPr>
            <w:tcW w:w="2215" w:type="pct"/>
            <w:tcBorders>
              <w:top w:val="nil"/>
              <w:left w:val="single" w:color="000000" w:sz="4" w:space="0"/>
              <w:bottom w:val="single" w:color="000000" w:sz="4" w:space="0"/>
              <w:right w:val="single" w:color="000000" w:sz="4" w:space="0"/>
            </w:tcBorders>
            <w:shd w:val="clear" w:color="auto" w:fill="auto"/>
            <w:vAlign w:val="center"/>
          </w:tcPr>
          <w:p w14:paraId="458A7C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1.名称:液晶电视机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2.规格:70寸</w:t>
            </w:r>
          </w:p>
        </w:tc>
        <w:tc>
          <w:tcPr>
            <w:tcW w:w="265" w:type="pct"/>
            <w:tcBorders>
              <w:top w:val="single" w:color="000000" w:sz="4" w:space="0"/>
              <w:left w:val="single" w:color="000000" w:sz="4" w:space="0"/>
              <w:bottom w:val="single" w:color="000000" w:sz="4" w:space="0"/>
              <w:right w:val="nil"/>
            </w:tcBorders>
            <w:shd w:val="clear" w:color="FFFFFF" w:fill="FFFFFF"/>
            <w:vAlign w:val="center"/>
          </w:tcPr>
          <w:p w14:paraId="09A7D9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台</w:t>
            </w:r>
          </w:p>
        </w:tc>
        <w:tc>
          <w:tcPr>
            <w:tcW w:w="363" w:type="pct"/>
            <w:tcBorders>
              <w:top w:val="single" w:color="000000" w:sz="4" w:space="0"/>
              <w:left w:val="single" w:color="000000" w:sz="4" w:space="0"/>
              <w:bottom w:val="single" w:color="000000" w:sz="4" w:space="0"/>
              <w:right w:val="single" w:color="000000" w:sz="4" w:space="0"/>
            </w:tcBorders>
            <w:vAlign w:val="center"/>
          </w:tcPr>
          <w:p w14:paraId="632F938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DA7CB66">
        <w:tblPrEx>
          <w:tblCellMar>
            <w:top w:w="0" w:type="dxa"/>
            <w:left w:w="108" w:type="dxa"/>
            <w:bottom w:w="0" w:type="dxa"/>
            <w:right w:w="108" w:type="dxa"/>
          </w:tblCellMar>
        </w:tblPrEx>
        <w:trPr>
          <w:trHeight w:val="317" w:hRule="atLeast"/>
          <w:jc w:val="center"/>
        </w:trPr>
        <w:tc>
          <w:tcPr>
            <w:tcW w:w="417" w:type="pct"/>
            <w:tcBorders>
              <w:top w:val="nil"/>
              <w:left w:val="single" w:color="000000" w:sz="4" w:space="0"/>
              <w:bottom w:val="single" w:color="auto" w:sz="4" w:space="0"/>
              <w:right w:val="single" w:color="000000" w:sz="4" w:space="0"/>
            </w:tcBorders>
            <w:noWrap/>
            <w:vAlign w:val="center"/>
          </w:tcPr>
          <w:p w14:paraId="08A484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nil"/>
              <w:left w:val="single" w:color="000000" w:sz="4" w:space="0"/>
              <w:bottom w:val="single" w:color="auto" w:sz="4" w:space="0"/>
              <w:right w:val="single" w:color="000000" w:sz="4" w:space="0"/>
            </w:tcBorders>
            <w:vAlign w:val="center"/>
          </w:tcPr>
          <w:p w14:paraId="3AC18CD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高透防爆玻璃</w:t>
            </w:r>
          </w:p>
        </w:tc>
        <w:tc>
          <w:tcPr>
            <w:tcW w:w="736" w:type="pct"/>
            <w:tcBorders>
              <w:top w:val="nil"/>
              <w:left w:val="single" w:color="000000" w:sz="4" w:space="0"/>
              <w:bottom w:val="single" w:color="auto" w:sz="4" w:space="0"/>
              <w:right w:val="single" w:color="000000" w:sz="4" w:space="0"/>
            </w:tcBorders>
            <w:noWrap/>
            <w:vAlign w:val="center"/>
          </w:tcPr>
          <w:p w14:paraId="65794E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nil"/>
              <w:left w:val="single" w:color="000000" w:sz="4" w:space="0"/>
              <w:bottom w:val="single" w:color="auto" w:sz="4" w:space="0"/>
              <w:right w:val="single" w:color="000000" w:sz="4" w:space="0"/>
            </w:tcBorders>
            <w:vAlign w:val="center"/>
          </w:tcPr>
          <w:p w14:paraId="433985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4.玻璃厚度：10mm</w:t>
            </w:r>
          </w:p>
        </w:tc>
        <w:tc>
          <w:tcPr>
            <w:tcW w:w="265" w:type="pct"/>
            <w:tcBorders>
              <w:top w:val="nil"/>
              <w:left w:val="single" w:color="000000" w:sz="4" w:space="0"/>
              <w:bottom w:val="single" w:color="auto" w:sz="4" w:space="0"/>
              <w:right w:val="nil"/>
            </w:tcBorders>
            <w:noWrap/>
            <w:vAlign w:val="center"/>
          </w:tcPr>
          <w:p w14:paraId="667DF46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处</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03BC0E0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AB3A239">
        <w:tblPrEx>
          <w:tblCellMar>
            <w:top w:w="0" w:type="dxa"/>
            <w:left w:w="108" w:type="dxa"/>
            <w:bottom w:w="0" w:type="dxa"/>
            <w:right w:w="108" w:type="dxa"/>
          </w:tblCellMar>
        </w:tblPrEx>
        <w:trPr>
          <w:trHeight w:val="5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AA37B4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收银相关</w:t>
            </w:r>
          </w:p>
        </w:tc>
      </w:tr>
      <w:tr w14:paraId="395606D1">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2D35A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6FC3C97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收银一体机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2AE5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A8965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I3/4G+64G/15.6屏（含收银系统+扫描枪+含58小票机）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56101B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CA2B3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37E9040A">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02597C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7624F4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手持PDA</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69095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82034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2G+6G</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0EE6E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4153F6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78189F5">
        <w:tblPrEx>
          <w:tblCellMar>
            <w:top w:w="0" w:type="dxa"/>
            <w:left w:w="108" w:type="dxa"/>
            <w:bottom w:w="0" w:type="dxa"/>
            <w:right w:w="108" w:type="dxa"/>
          </w:tblCellMar>
        </w:tblPrEx>
        <w:trPr>
          <w:trHeight w:val="40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B767A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692BF2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IC读卡器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4615CF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7E1BD95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IC写卡、读卡</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9FF170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45B33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94267B7">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D6CBDC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58205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路由器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758AB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TP link </w:t>
            </w:r>
          </w:p>
        </w:tc>
        <w:tc>
          <w:tcPr>
            <w:tcW w:w="2215" w:type="pct"/>
            <w:tcBorders>
              <w:top w:val="single" w:color="000000" w:sz="4" w:space="0"/>
              <w:left w:val="single" w:color="000000" w:sz="4" w:space="0"/>
              <w:bottom w:val="single" w:color="000000" w:sz="4" w:space="0"/>
              <w:right w:val="single" w:color="000000" w:sz="4" w:space="0"/>
            </w:tcBorders>
            <w:vAlign w:val="center"/>
          </w:tcPr>
          <w:p w14:paraId="5E2A64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无线路由器</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B7A6E6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A91C8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14999F17">
        <w:tblPrEx>
          <w:tblCellMar>
            <w:top w:w="0" w:type="dxa"/>
            <w:left w:w="108" w:type="dxa"/>
            <w:bottom w:w="0" w:type="dxa"/>
            <w:right w:w="108" w:type="dxa"/>
          </w:tblCellMar>
        </w:tblPrEx>
        <w:trPr>
          <w:trHeight w:val="51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27D9B98E">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照明</w:t>
            </w:r>
          </w:p>
        </w:tc>
      </w:tr>
      <w:tr w14:paraId="194B92B5">
        <w:tblPrEx>
          <w:tblCellMar>
            <w:top w:w="0" w:type="dxa"/>
            <w:left w:w="108" w:type="dxa"/>
            <w:bottom w:w="0" w:type="dxa"/>
            <w:right w:w="108" w:type="dxa"/>
          </w:tblCellMar>
        </w:tblPrEx>
        <w:trPr>
          <w:trHeight w:val="35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543733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B69BC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FCCDD6E">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0BC1BAA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AACF9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E5003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105244D0">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BEEDD5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972651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路灯</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06CB38">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112BD40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7BDD2C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08AD2C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38</w:t>
            </w:r>
          </w:p>
        </w:tc>
      </w:tr>
      <w:tr w14:paraId="5C76CD81">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DF8A8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CCF3B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灯带</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0A88BB0">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3C6313B9">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C2122F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米</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DECAEE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600</w:t>
            </w:r>
          </w:p>
        </w:tc>
      </w:tr>
      <w:tr w14:paraId="52F30D50">
        <w:tblPrEx>
          <w:tblCellMar>
            <w:top w:w="0" w:type="dxa"/>
            <w:left w:w="108" w:type="dxa"/>
            <w:bottom w:w="0" w:type="dxa"/>
            <w:right w:w="108" w:type="dxa"/>
          </w:tblCellMar>
        </w:tblPrEx>
        <w:trPr>
          <w:trHeight w:val="54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5FFDE95C">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卡丁车</w:t>
            </w:r>
          </w:p>
        </w:tc>
      </w:tr>
      <w:tr w14:paraId="169FA6B3">
        <w:tblPrEx>
          <w:tblCellMar>
            <w:top w:w="0" w:type="dxa"/>
            <w:left w:w="108" w:type="dxa"/>
            <w:bottom w:w="0" w:type="dxa"/>
            <w:right w:w="108" w:type="dxa"/>
          </w:tblCellMar>
        </w:tblPrEx>
        <w:trPr>
          <w:trHeight w:val="534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0A8BF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7B57FB6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w:t>
            </w:r>
          </w:p>
        </w:tc>
        <w:tc>
          <w:tcPr>
            <w:tcW w:w="736" w:type="pct"/>
            <w:tcBorders>
              <w:top w:val="single" w:color="000000" w:sz="4" w:space="0"/>
              <w:left w:val="single" w:color="000000" w:sz="4" w:space="0"/>
              <w:bottom w:val="single" w:color="000000" w:sz="4" w:space="0"/>
              <w:right w:val="single" w:color="000000" w:sz="4" w:space="0"/>
            </w:tcBorders>
            <w:vAlign w:val="center"/>
          </w:tcPr>
          <w:p w14:paraId="15275C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九号卡丁车pro2</w:t>
            </w:r>
          </w:p>
        </w:tc>
        <w:tc>
          <w:tcPr>
            <w:tcW w:w="2215" w:type="pct"/>
            <w:tcBorders>
              <w:top w:val="single" w:color="000000" w:sz="4" w:space="0"/>
              <w:left w:val="single" w:color="000000" w:sz="4" w:space="0"/>
              <w:bottom w:val="single" w:color="000000" w:sz="4" w:space="0"/>
              <w:right w:val="single" w:color="000000" w:sz="4" w:space="0"/>
            </w:tcBorders>
            <w:vAlign w:val="center"/>
          </w:tcPr>
          <w:p w14:paraId="0EB28C6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1.最高速度43km/h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7.单独蓝牙音响，有赛车+手动挡换音效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8.最大扭矩96N.m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9.制动方式：电刹+高摩擦力机械手刹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10.前轮轮胎：高抓地力免维护中空胎；后轮轮胎：快拆式运动飘逸胎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 金属踏板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12.电机类型为：风冷轮毂电机，额定功率900W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13.电池容量432w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15.电压63V</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ED8445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4C8EF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3EC39BA7">
        <w:tblPrEx>
          <w:tblCellMar>
            <w:top w:w="0" w:type="dxa"/>
            <w:left w:w="108" w:type="dxa"/>
            <w:bottom w:w="0" w:type="dxa"/>
            <w:right w:w="108" w:type="dxa"/>
          </w:tblCellMar>
        </w:tblPrEx>
        <w:trPr>
          <w:trHeight w:val="188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BB2DB8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5652590E">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5ACE3C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九号卡丁车改装套件2+平衡车minipro2</w:t>
            </w:r>
          </w:p>
        </w:tc>
        <w:tc>
          <w:tcPr>
            <w:tcW w:w="2215" w:type="pct"/>
            <w:tcBorders>
              <w:top w:val="single" w:color="000000" w:sz="4" w:space="0"/>
              <w:left w:val="single" w:color="000000" w:sz="4" w:space="0"/>
              <w:bottom w:val="single" w:color="000000" w:sz="4" w:space="0"/>
              <w:right w:val="single" w:color="000000" w:sz="4" w:space="0"/>
            </w:tcBorders>
            <w:vAlign w:val="center"/>
          </w:tcPr>
          <w:p w14:paraId="17034B7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1.最高速度27km/h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7.内置蓝牙音响</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8.最大扭矩60N.m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10.前轮轮胎：高抓地力免维护中空胎；后轮轮胎：越野真空胎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11.塑料踏板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12.电机类型为：轮毂电机，额定功率800W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13.电池容量335w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14.充电时间：4.5h左右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15.电压54V</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0E992E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8F90B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49C9773B">
        <w:tblPrEx>
          <w:tblCellMar>
            <w:top w:w="0" w:type="dxa"/>
            <w:left w:w="108" w:type="dxa"/>
            <w:bottom w:w="0" w:type="dxa"/>
            <w:right w:w="108" w:type="dxa"/>
          </w:tblCellMar>
        </w:tblPrEx>
        <w:trPr>
          <w:trHeight w:val="42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70949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3D4696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卡丁车托挂件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BCDF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托挂件</w:t>
            </w:r>
          </w:p>
        </w:tc>
        <w:tc>
          <w:tcPr>
            <w:tcW w:w="2215" w:type="pct"/>
            <w:tcBorders>
              <w:top w:val="single" w:color="000000" w:sz="4" w:space="0"/>
              <w:left w:val="single" w:color="000000" w:sz="4" w:space="0"/>
              <w:bottom w:val="single" w:color="000000" w:sz="4" w:space="0"/>
              <w:right w:val="single" w:color="000000" w:sz="4" w:space="0"/>
            </w:tcBorders>
            <w:noWrap/>
            <w:vAlign w:val="center"/>
          </w:tcPr>
          <w:p w14:paraId="4C1DEE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可载人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207AC0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47C77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2CC21188">
        <w:tblPrEx>
          <w:tblCellMar>
            <w:top w:w="0" w:type="dxa"/>
            <w:left w:w="108" w:type="dxa"/>
            <w:bottom w:w="0" w:type="dxa"/>
            <w:right w:w="108" w:type="dxa"/>
          </w:tblCellMar>
        </w:tblPrEx>
        <w:trPr>
          <w:trHeight w:val="44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F44498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vAlign w:val="center"/>
          </w:tcPr>
          <w:p w14:paraId="352344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736" w:type="pct"/>
            <w:tcBorders>
              <w:top w:val="single" w:color="000000" w:sz="4" w:space="0"/>
              <w:left w:val="single" w:color="000000" w:sz="4" w:space="0"/>
              <w:bottom w:val="single" w:color="000000" w:sz="4" w:space="0"/>
              <w:right w:val="single" w:color="000000" w:sz="4" w:space="0"/>
            </w:tcBorders>
            <w:vAlign w:val="center"/>
          </w:tcPr>
          <w:p w14:paraId="2495B0B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2215" w:type="pct"/>
            <w:tcBorders>
              <w:top w:val="single" w:color="000000" w:sz="4" w:space="0"/>
              <w:left w:val="single" w:color="000000" w:sz="4" w:space="0"/>
              <w:bottom w:val="single" w:color="000000" w:sz="4" w:space="0"/>
              <w:right w:val="single" w:color="000000" w:sz="4" w:space="0"/>
            </w:tcBorders>
            <w:noWrap/>
            <w:vAlign w:val="center"/>
          </w:tcPr>
          <w:p w14:paraId="7658FB5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B7AFD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BB8D0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r>
      <w:tr w14:paraId="7FB8801A">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62C000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auto" w:sz="4" w:space="0"/>
              <w:right w:val="single" w:color="000000" w:sz="4" w:space="0"/>
            </w:tcBorders>
            <w:vAlign w:val="center"/>
          </w:tcPr>
          <w:p w14:paraId="7EAD9B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赛车服装</w:t>
            </w:r>
          </w:p>
        </w:tc>
        <w:tc>
          <w:tcPr>
            <w:tcW w:w="736" w:type="pct"/>
            <w:tcBorders>
              <w:top w:val="single" w:color="000000" w:sz="4" w:space="0"/>
              <w:left w:val="single" w:color="000000" w:sz="4" w:space="0"/>
              <w:bottom w:val="single" w:color="auto" w:sz="4" w:space="0"/>
              <w:right w:val="single" w:color="000000" w:sz="4" w:space="0"/>
            </w:tcBorders>
            <w:vAlign w:val="center"/>
          </w:tcPr>
          <w:p w14:paraId="417084B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Jeep吉普赛车服</w:t>
            </w:r>
          </w:p>
        </w:tc>
        <w:tc>
          <w:tcPr>
            <w:tcW w:w="2215" w:type="pct"/>
            <w:tcBorders>
              <w:top w:val="single" w:color="000000" w:sz="4" w:space="0"/>
              <w:left w:val="single" w:color="000000" w:sz="4" w:space="0"/>
              <w:bottom w:val="single" w:color="auto" w:sz="4" w:space="0"/>
              <w:right w:val="single" w:color="000000" w:sz="4" w:space="0"/>
            </w:tcBorders>
            <w:noWrap/>
            <w:vAlign w:val="center"/>
          </w:tcPr>
          <w:p w14:paraId="0F258A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65" w:type="pct"/>
            <w:tcBorders>
              <w:top w:val="single" w:color="000000" w:sz="4" w:space="0"/>
              <w:left w:val="single" w:color="000000" w:sz="4" w:space="0"/>
              <w:bottom w:val="single" w:color="auto" w:sz="4" w:space="0"/>
              <w:right w:val="single" w:color="000000" w:sz="4" w:space="0"/>
            </w:tcBorders>
            <w:noWrap/>
            <w:vAlign w:val="center"/>
          </w:tcPr>
          <w:p w14:paraId="7E77C08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30CE0A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0CD1703F">
        <w:tblPrEx>
          <w:tblCellMar>
            <w:top w:w="0" w:type="dxa"/>
            <w:left w:w="108" w:type="dxa"/>
            <w:bottom w:w="0" w:type="dxa"/>
            <w:right w:w="108" w:type="dxa"/>
          </w:tblCellMar>
        </w:tblPrEx>
        <w:trPr>
          <w:trHeight w:val="5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BB98F96">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其余杂项</w:t>
            </w:r>
          </w:p>
        </w:tc>
      </w:tr>
      <w:tr w14:paraId="13D0C9CB">
        <w:tblPrEx>
          <w:tblCellMar>
            <w:top w:w="0" w:type="dxa"/>
            <w:left w:w="108" w:type="dxa"/>
            <w:bottom w:w="0" w:type="dxa"/>
            <w:right w:w="108" w:type="dxa"/>
          </w:tblCellMar>
        </w:tblPrEx>
        <w:trPr>
          <w:trHeight w:val="33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2294C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E4E781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广告牌</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CCE9D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70573E05">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63DB4A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B3728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C3B9016">
        <w:tblPrEx>
          <w:tblCellMar>
            <w:top w:w="0" w:type="dxa"/>
            <w:left w:w="108" w:type="dxa"/>
            <w:bottom w:w="0" w:type="dxa"/>
            <w:right w:w="108" w:type="dxa"/>
          </w:tblCellMar>
        </w:tblPrEx>
        <w:trPr>
          <w:trHeight w:val="154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3D08A5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vAlign w:val="center"/>
          </w:tcPr>
          <w:p w14:paraId="70A1511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手持锂电池大功率吹风机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33102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博程强劲风力 8.0AH 二电</w:t>
            </w:r>
          </w:p>
        </w:tc>
        <w:tc>
          <w:tcPr>
            <w:tcW w:w="2215" w:type="pct"/>
            <w:tcBorders>
              <w:top w:val="single" w:color="000000" w:sz="4" w:space="0"/>
              <w:left w:val="single" w:color="000000" w:sz="4" w:space="0"/>
              <w:bottom w:val="single" w:color="000000" w:sz="4" w:space="0"/>
              <w:right w:val="single" w:color="000000" w:sz="4" w:space="0"/>
            </w:tcBorders>
            <w:vAlign w:val="center"/>
          </w:tcPr>
          <w:p w14:paraId="09CD49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1.电池电压：21V</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2.空载转速：不小于30000r/min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3.额定出风：不小于4m3/min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4.风压：不小于5.5kpa</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5.20节电池2个</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8CE2BA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vAlign w:val="center"/>
          </w:tcPr>
          <w:p w14:paraId="4F03AA1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0303E2D9">
        <w:tblPrEx>
          <w:tblCellMar>
            <w:top w:w="0" w:type="dxa"/>
            <w:left w:w="108" w:type="dxa"/>
            <w:bottom w:w="0" w:type="dxa"/>
            <w:right w:w="108" w:type="dxa"/>
          </w:tblCellMar>
        </w:tblPrEx>
        <w:trPr>
          <w:trHeight w:val="158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9987D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652687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卡丁车样品展示架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667B6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23CE881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1.展示架底座：尺寸：长1.5m*宽1m*高1m，钢管焊接底座，外包25mm厚花岗岩</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2.卡丁车样品一台</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3.外罩高透防爆玻璃罩，尺寸：长1.5m*宽1m*高0.8m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4B229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BF58B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5543AF17">
        <w:tblPrEx>
          <w:tblCellMar>
            <w:top w:w="0" w:type="dxa"/>
            <w:left w:w="108" w:type="dxa"/>
            <w:bottom w:w="0" w:type="dxa"/>
            <w:right w:w="108" w:type="dxa"/>
          </w:tblCellMar>
        </w:tblPrEx>
        <w:trPr>
          <w:trHeight w:val="860"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20746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D446DF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木质推拉门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17E0BE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C13F1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1.木栏杆处木质推拉门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2.洞口尺寸:长2.7*高1.1m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0EAE3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0DAD5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7D05A70">
        <w:tblPrEx>
          <w:tblCellMar>
            <w:top w:w="0" w:type="dxa"/>
            <w:left w:w="108" w:type="dxa"/>
            <w:bottom w:w="0" w:type="dxa"/>
            <w:right w:w="108" w:type="dxa"/>
          </w:tblCellMar>
        </w:tblPrEx>
        <w:trPr>
          <w:trHeight w:val="44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AAAE3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166A9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道闸</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8FB2A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2FF24328">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2FA2AF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0BACBB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5920A2D9">
        <w:tblPrEx>
          <w:tblCellMar>
            <w:top w:w="0" w:type="dxa"/>
            <w:left w:w="108" w:type="dxa"/>
            <w:bottom w:w="0" w:type="dxa"/>
            <w:right w:w="108" w:type="dxa"/>
          </w:tblCellMar>
        </w:tblPrEx>
        <w:trPr>
          <w:trHeight w:val="624"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B3C8397">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银滩小火车</w:t>
            </w:r>
          </w:p>
        </w:tc>
      </w:tr>
      <w:tr w14:paraId="4A5BF847">
        <w:tblPrEx>
          <w:tblCellMar>
            <w:top w:w="0" w:type="dxa"/>
            <w:left w:w="108" w:type="dxa"/>
            <w:bottom w:w="0" w:type="dxa"/>
            <w:right w:w="108" w:type="dxa"/>
          </w:tblCellMar>
        </w:tblPrEx>
        <w:trPr>
          <w:trHeight w:val="624" w:hRule="atLeast"/>
          <w:jc w:val="center"/>
        </w:trPr>
        <w:tc>
          <w:tcPr>
            <w:tcW w:w="417" w:type="pct"/>
            <w:tcBorders>
              <w:top w:val="single" w:color="auto" w:sz="4" w:space="0"/>
              <w:left w:val="single" w:color="000000" w:sz="4" w:space="0"/>
              <w:bottom w:val="single" w:color="000000" w:sz="4" w:space="0"/>
              <w:right w:val="single" w:color="000000" w:sz="4" w:space="0"/>
            </w:tcBorders>
            <w:noWrap/>
            <w:vAlign w:val="center"/>
          </w:tcPr>
          <w:p w14:paraId="4F94F7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auto" w:sz="4" w:space="0"/>
              <w:left w:val="single" w:color="000000" w:sz="4" w:space="0"/>
              <w:bottom w:val="single" w:color="000000" w:sz="4" w:space="0"/>
              <w:right w:val="single" w:color="000000" w:sz="4" w:space="0"/>
            </w:tcBorders>
            <w:noWrap/>
            <w:vAlign w:val="center"/>
          </w:tcPr>
          <w:p w14:paraId="7B68D0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36" w:type="pct"/>
            <w:tcBorders>
              <w:top w:val="single" w:color="auto" w:sz="4" w:space="0"/>
              <w:left w:val="single" w:color="000000" w:sz="4" w:space="0"/>
              <w:bottom w:val="single" w:color="000000" w:sz="4" w:space="0"/>
              <w:right w:val="single" w:color="000000" w:sz="4" w:space="0"/>
            </w:tcBorders>
            <w:noWrap/>
            <w:vAlign w:val="center"/>
          </w:tcPr>
          <w:p w14:paraId="0C6722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215" w:type="pct"/>
            <w:tcBorders>
              <w:top w:val="single" w:color="auto" w:sz="4" w:space="0"/>
              <w:left w:val="single" w:color="000000" w:sz="4" w:space="0"/>
              <w:bottom w:val="single" w:color="000000" w:sz="4" w:space="0"/>
              <w:right w:val="single" w:color="000000" w:sz="4" w:space="0"/>
            </w:tcBorders>
            <w:vAlign w:val="center"/>
          </w:tcPr>
          <w:p w14:paraId="397C94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65" w:type="pct"/>
            <w:tcBorders>
              <w:top w:val="single" w:color="auto" w:sz="4" w:space="0"/>
              <w:left w:val="single" w:color="000000" w:sz="4" w:space="0"/>
              <w:bottom w:val="single" w:color="000000" w:sz="4" w:space="0"/>
              <w:right w:val="single" w:color="000000" w:sz="4" w:space="0"/>
            </w:tcBorders>
            <w:noWrap/>
            <w:vAlign w:val="center"/>
          </w:tcPr>
          <w:p w14:paraId="46E075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363" w:type="pct"/>
            <w:tcBorders>
              <w:top w:val="single" w:color="auto" w:sz="4" w:space="0"/>
              <w:left w:val="single" w:color="000000" w:sz="4" w:space="0"/>
              <w:bottom w:val="single" w:color="000000" w:sz="4" w:space="0"/>
              <w:right w:val="single" w:color="000000" w:sz="4" w:space="0"/>
            </w:tcBorders>
            <w:vAlign w:val="center"/>
          </w:tcPr>
          <w:p w14:paraId="043D75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6648069B">
        <w:tblPrEx>
          <w:tblCellMar>
            <w:top w:w="0" w:type="dxa"/>
            <w:left w:w="108" w:type="dxa"/>
            <w:bottom w:w="0" w:type="dxa"/>
            <w:right w:w="108" w:type="dxa"/>
          </w:tblCellMar>
        </w:tblPrEx>
        <w:trPr>
          <w:trHeight w:val="367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77179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25522E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小火车两辆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998D825">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金辉游乐定制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6B3BD1C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1.一拖四小火车</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2.小火车参数:车头尺寸：3.4*1.2*2.15m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车厢尺寸：1.6*1.0*2.1m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续航：100km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轮胎：真空胎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蓄电池：12V150A5块</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无级变速</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乘员：6人/车（含儿童）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车身：钢制车架+玻璃钢外壳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配套：火车头1节+客车4节、总长大于10米，需配备后视镜、充电器、仿真烟功能、电压表仪表盘</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C997B2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辆</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EC4B2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bl>
    <w:p w14:paraId="4E489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4A030C16"/>
    <w:multiLevelType w:val="singleLevel"/>
    <w:tmpl w:val="4A030C16"/>
    <w:lvl w:ilvl="0" w:tentative="0">
      <w:start w:val="1"/>
      <w:numFmt w:val="decimal"/>
      <w:suff w:val="nothing"/>
      <w:lvlText w:val="%1、"/>
      <w:lvlJc w:val="left"/>
    </w:lvl>
  </w:abstractNum>
  <w:abstractNum w:abstractNumId="2">
    <w:nsid w:val="673C533F"/>
    <w:multiLevelType w:val="singleLevel"/>
    <w:tmpl w:val="673C533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F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2025-11-12T08:02:02Z</dcterms:created>
  <dc:creator>Administrator</dc:creator>
  <cp:lastModifiedBy>郭念東</cp:lastModifiedBy>
  <dcterms:modified xsi:type="dcterms:W3CDTF">2025-11-12T08:02:43Z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62A4C96F7AB849F583D2AD2C5555436E_12</vt:lpwstr>
  </property>
</Properties>
</file>