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中誉恒信工程咨询有限公司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施工图审查回复单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836"/>
        <w:gridCol w:w="341"/>
        <w:gridCol w:w="809"/>
        <w:gridCol w:w="887"/>
        <w:gridCol w:w="570"/>
        <w:gridCol w:w="648"/>
        <w:gridCol w:w="560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</w:trPr>
        <w:tc>
          <w:tcPr>
            <w:tcW w:w="1554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3516" w:type="dxa"/>
            <w:gridSpan w:val="4"/>
            <w:vAlign w:val="center"/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w w:val="100"/>
                <w:sz w:val="24"/>
                <w:lang w:eastAsia="zh-CN"/>
              </w:rPr>
              <w:t>孙营乡第二初级中学教师周转宿舍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项目编号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ZYHX-2021-BFJ013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54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修改专业</w:t>
            </w:r>
          </w:p>
        </w:tc>
        <w:tc>
          <w:tcPr>
            <w:tcW w:w="3516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建筑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变更编号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default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216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修改对其他专业是否有影响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54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无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修改原因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图纸审查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1554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主送</w:t>
            </w:r>
          </w:p>
        </w:tc>
        <w:tc>
          <w:tcPr>
            <w:tcW w:w="3516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通许县教育局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抄送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施工图审查机构、施工方及监理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6" w:hRule="atLeast"/>
        </w:trPr>
        <w:tc>
          <w:tcPr>
            <w:tcW w:w="8522" w:type="dxa"/>
            <w:gridSpan w:val="9"/>
            <w:vAlign w:val="top"/>
          </w:tcPr>
          <w:p>
            <w:pPr>
              <w:spacing w:line="360" w:lineRule="auto"/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根据审查意见回复：</w:t>
            </w:r>
          </w:p>
          <w:p>
            <w:pPr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节能审查</w:t>
            </w:r>
            <w:r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：</w:t>
            </w:r>
          </w:p>
          <w:p>
            <w:pPr>
              <w:ind w:right="25" w:rightChars="12"/>
              <w:jc w:val="left"/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color w:val="00B0F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设计依据是按照公共建筑设计，设计表按照居住建筑，不一致；且应按照居住建筑计算，调整设计依据。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已修改，设计总说明中节能设计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依据已调整为《河南省居住建筑节能设计标准（寒冷地区75%）》。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详见建施-04修。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default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  <w:t>节能设计依据补充</w:t>
            </w:r>
            <w:r>
              <w:rPr>
                <w:rFonts w:ascii="宋体" w:hAnsi="宋体"/>
                <w:b w:val="0"/>
                <w:bCs w:val="0"/>
                <w:color w:val="00B0F0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00B0F0"/>
                <w:sz w:val="24"/>
                <w:szCs w:val="24"/>
              </w:rPr>
              <w:t>民用建筑热工设计规范</w:t>
            </w:r>
            <w:r>
              <w:rPr>
                <w:rFonts w:ascii="宋体" w:hAnsi="宋体"/>
                <w:b w:val="0"/>
                <w:bCs w:val="0"/>
                <w:color w:val="00B0F0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/>
                <w:b w:val="0"/>
                <w:bCs w:val="0"/>
                <w:color w:val="00B0F0"/>
                <w:sz w:val="24"/>
                <w:szCs w:val="24"/>
                <w:lang w:val="en-US" w:eastAsia="zh-CN"/>
              </w:rPr>
              <w:t>《河南省居住建筑节能设计标准》（寒冷地区75%）DBJ41/T184-2020。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已补充，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节能设计依据补充</w:t>
            </w:r>
            <w:r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民用建筑热工设计规范</w:t>
            </w:r>
            <w:r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《河南省居住建筑节能设计标准》（寒冷地区75%）DBJ41/T184-2020。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详见建施-04修。</w:t>
            </w:r>
          </w:p>
          <w:p>
            <w:pPr>
              <w:ind w:right="25" w:rightChars="12"/>
              <w:jc w:val="left"/>
              <w:rPr>
                <w:rFonts w:hint="eastAsia"/>
                <w:color w:val="111111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挤塑聚苯板说明压缩强度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。</w:t>
            </w:r>
          </w:p>
          <w:p>
            <w:pPr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已补充，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挤塑聚苯板说明压缩强度为0.15~0.25KPa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。详见建施-04修。</w:t>
            </w:r>
          </w:p>
          <w:p>
            <w:pPr>
              <w:ind w:right="25" w:rightChars="12"/>
              <w:jc w:val="left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节能专篇说明热工分区。</w:t>
            </w:r>
          </w:p>
          <w:p>
            <w:pPr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已补充，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节能专篇说明热工分区为寒冷(B)区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。详见建施-04修。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节能专篇中外窗传热系数与设计表不同，且此传热系数应与</w:t>
            </w:r>
            <w:r>
              <w:rPr>
                <w:rFonts w:ascii="宋体" w:hAnsi="宋体"/>
                <w:color w:val="00B0F0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00B0F0"/>
                <w:sz w:val="24"/>
                <w:szCs w:val="24"/>
              </w:rPr>
              <w:t>民用建筑热工设计规范</w:t>
            </w:r>
            <w:r>
              <w:rPr>
                <w:rFonts w:ascii="宋体" w:hAnsi="宋体"/>
                <w:color w:val="00B0F0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附录5一致；专篇中设计表外窗品种与计算书不符，核实外窗品种及传热系数，计算书、设计表、专篇说明、门窗表应一致。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已修改，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节能专篇中外窗传热系数传热系数2.20W/（平方米·K），已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核实外窗品种为断桥铝窗框(Low-E中空SuperSE-III)6mm+12A+6mm及传热系数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2.20W/（平方米·K）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，且计算书、设计表、专篇说明、门窗表一致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。详见建施-03修、修 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专篇中节能设计表最不利热桥数据有误，不应小于10.12，且应与计算书一致。设计表表格格式有误，应以生成表格为准。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已修改，</w:t>
            </w: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专篇中节能设计表最不利热桥为12.9，已修改设计表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。详见建施-04修。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P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平面图示意外保温线位置。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hint="eastAsia"/>
                <w:color w:val="11111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  <w:t>已修改,每层平面图上已</w:t>
            </w:r>
            <w:r>
              <w:rPr>
                <w:rFonts w:hint="eastAsia"/>
                <w:color w:val="111111"/>
                <w:lang w:val="en-US" w:eastAsia="zh-CN"/>
              </w:rPr>
              <w:t>示意外保温线，详见建施-07修、08修、09修。</w:t>
            </w:r>
          </w:p>
          <w:p>
            <w:pPr>
              <w:spacing w:line="276" w:lineRule="auto"/>
              <w:ind w:right="25" w:rightChars="12"/>
              <w:jc w:val="lef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技术审查：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P1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设计依据</w:t>
            </w:r>
            <w:r>
              <w:rPr>
                <w:color w:val="00B0F0"/>
                <w:sz w:val="24"/>
                <w:szCs w:val="24"/>
              </w:rPr>
              <w:t>《民用建筑设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通则</w:t>
            </w:r>
            <w:r>
              <w:rPr>
                <w:color w:val="00B0F0"/>
                <w:sz w:val="24"/>
                <w:szCs w:val="24"/>
              </w:rPr>
              <w:t>》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名称有误；</w:t>
            </w:r>
            <w:r>
              <w:rPr>
                <w:rFonts w:hint="eastAsia" w:ascii="宋体" w:hAnsi="宋体"/>
                <w:color w:val="00B0F0"/>
                <w:sz w:val="24"/>
                <w:szCs w:val="24"/>
              </w:rPr>
              <w:t>《民用建筑工程室内环境污染控制规范》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版本有误；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《河南省居住建筑节能设计标准》</w:t>
            </w:r>
            <w:r>
              <w:rPr>
                <w:rFonts w:hint="eastAsia" w:ascii="宋体" w:hAnsi="宋体"/>
                <w:color w:val="00B0F0"/>
                <w:sz w:val="24"/>
                <w:szCs w:val="24"/>
                <w:lang w:val="en-US" w:eastAsia="zh-CN"/>
              </w:rPr>
              <w:t>版本有误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已修改设计依据</w:t>
            </w:r>
            <w:r>
              <w:rPr>
                <w:color w:val="111111"/>
                <w:sz w:val="24"/>
                <w:szCs w:val="24"/>
              </w:rPr>
              <w:t>《民用建筑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设计通则</w:t>
            </w:r>
            <w:r>
              <w:rPr>
                <w:color w:val="111111"/>
                <w:sz w:val="24"/>
                <w:szCs w:val="24"/>
              </w:rPr>
              <w:t>》</w:t>
            </w:r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名称为《民用建筑设计统</w:t>
            </w:r>
            <w:bookmarkStart w:id="0" w:name="_GoBack"/>
            <w:bookmarkEnd w:id="0"/>
            <w:r>
              <w:rPr>
                <w:rFonts w:hint="eastAsia"/>
                <w:color w:val="111111"/>
                <w:sz w:val="24"/>
                <w:szCs w:val="24"/>
                <w:lang w:val="en-US" w:eastAsia="zh-CN"/>
              </w:rPr>
              <w:t>一标准》GB50352-2019，</w:t>
            </w:r>
            <w:r>
              <w:rPr>
                <w:rFonts w:hint="eastAsia" w:ascii="宋体" w:hAnsi="宋体"/>
                <w:sz w:val="24"/>
                <w:szCs w:val="24"/>
              </w:rPr>
              <w:t>《民用建筑工程室内环境污染控制规范》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版本为GB50325-2020版，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《河南省居住建筑节能设计标准》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版本为《河南省居住建筑节能设计标准（寒冷地区75%）》 DBJ41/T184-2020，详建施-01修。</w:t>
            </w:r>
          </w:p>
          <w:p>
            <w:pPr>
              <w:widowControl/>
              <w:shd w:val="clear" w:color="auto" w:fill="FFFFFF"/>
              <w:jc w:val="lef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消防审查：</w:t>
            </w:r>
          </w:p>
          <w:p>
            <w:pPr>
              <w:spacing w:line="276" w:lineRule="auto"/>
              <w:rPr>
                <w:rFonts w:hint="eastAsia"/>
                <w:color w:val="00B0F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B0F0"/>
                <w:sz w:val="24"/>
                <w:szCs w:val="24"/>
                <w:lang w:val="en-US" w:eastAsia="zh-CN"/>
              </w:rPr>
              <w:t>P1</w:t>
            </w:r>
            <w:r>
              <w:rPr>
                <w:rFonts w:hint="eastAsia"/>
                <w:b/>
                <w:bCs/>
                <w:color w:val="00B0F0"/>
                <w:sz w:val="24"/>
                <w:szCs w:val="24"/>
              </w:rPr>
              <w:t>、</w:t>
            </w:r>
            <w:r>
              <w:rPr>
                <w:rFonts w:hint="eastAsia"/>
                <w:color w:val="00B0F0"/>
                <w:sz w:val="24"/>
                <w:szCs w:val="24"/>
              </w:rPr>
              <w:t>说明走道两侧的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外窗的</w:t>
            </w:r>
            <w:r>
              <w:rPr>
                <w:rFonts w:hint="eastAsia"/>
                <w:color w:val="00B0F0"/>
                <w:sz w:val="24"/>
                <w:szCs w:val="24"/>
              </w:rPr>
              <w:t>耐火极限，满足《建筑设计防火规范》第5.1.2条规定。</w:t>
            </w:r>
          </w:p>
          <w:p>
            <w:pPr>
              <w:spacing w:line="276" w:lineRule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>走道两侧的外窗的耐火极限为1h，首层外走道不需要。</w:t>
            </w:r>
          </w:p>
          <w:p>
            <w:pPr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绿建审查：</w:t>
            </w:r>
          </w:p>
          <w:p>
            <w:pPr>
              <w:spacing w:line="276" w:lineRule="auto"/>
              <w:rPr>
                <w:rFonts w:hint="eastAsia"/>
                <w:color w:val="00B0F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B0F0"/>
                <w:sz w:val="24"/>
                <w:szCs w:val="24"/>
              </w:rPr>
              <w:t>P1、</w:t>
            </w:r>
            <w:r>
              <w:rPr>
                <w:rFonts w:hint="eastAsia"/>
                <w:color w:val="00B0F0"/>
                <w:sz w:val="24"/>
                <w:szCs w:val="24"/>
                <w:lang w:val="en-US" w:eastAsia="zh-CN"/>
              </w:rPr>
              <w:t xml:space="preserve"> 未见绿色建筑设计。</w:t>
            </w:r>
          </w:p>
          <w:p>
            <w:pPr>
              <w:spacing w:line="276" w:lineRule="auto"/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回复：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本项目</w:t>
            </w: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不需要绿色建筑设计。</w:t>
            </w:r>
          </w:p>
          <w:p>
            <w:pPr>
              <w:spacing w:line="276" w:lineRule="auto"/>
              <w:rPr>
                <w:rFonts w:hint="default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76" w:lineRule="auto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55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项目负责人</w:t>
            </w:r>
          </w:p>
        </w:tc>
        <w:tc>
          <w:tcPr>
            <w:tcW w:w="122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1026795" cy="330200"/>
                  <wp:effectExtent l="0" t="0" r="1905" b="1270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审核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749300" cy="345440"/>
                  <wp:effectExtent l="0" t="0" r="12700" b="1651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4" w:type="dxa"/>
            <w:gridSpan w:val="2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修改日期</w:t>
            </w:r>
          </w:p>
        </w:tc>
        <w:tc>
          <w:tcPr>
            <w:tcW w:w="1600" w:type="dxa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  <w:lang w:val="zh-CN"/>
              </w:rPr>
              <w:t>2021.5.17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155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专业负责人</w:t>
            </w:r>
          </w:p>
        </w:tc>
        <w:tc>
          <w:tcPr>
            <w:tcW w:w="1224" w:type="dxa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1026795" cy="330200"/>
                  <wp:effectExtent l="0" t="0" r="1905" b="1270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修改人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drawing>
                <wp:inline distT="0" distB="0" distL="114300" distR="114300">
                  <wp:extent cx="656590" cy="379730"/>
                  <wp:effectExtent l="0" t="0" r="10160" b="127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59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4" w:type="dxa"/>
            <w:gridSpan w:val="2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0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61224"/>
    <w:rsid w:val="052942A2"/>
    <w:rsid w:val="07154DF2"/>
    <w:rsid w:val="07847A05"/>
    <w:rsid w:val="090F76A5"/>
    <w:rsid w:val="0B9F220E"/>
    <w:rsid w:val="0BBB7982"/>
    <w:rsid w:val="0CA877EA"/>
    <w:rsid w:val="0E84367F"/>
    <w:rsid w:val="10292D99"/>
    <w:rsid w:val="10B53A39"/>
    <w:rsid w:val="11A84FC9"/>
    <w:rsid w:val="12520DA5"/>
    <w:rsid w:val="14007EC3"/>
    <w:rsid w:val="14E260E8"/>
    <w:rsid w:val="15EC1757"/>
    <w:rsid w:val="16A46F78"/>
    <w:rsid w:val="196D2C8E"/>
    <w:rsid w:val="1B647019"/>
    <w:rsid w:val="1C0C5143"/>
    <w:rsid w:val="1D367165"/>
    <w:rsid w:val="1D5416C4"/>
    <w:rsid w:val="1D57672E"/>
    <w:rsid w:val="1E035346"/>
    <w:rsid w:val="1ED24EA0"/>
    <w:rsid w:val="218B2719"/>
    <w:rsid w:val="21EA3CF5"/>
    <w:rsid w:val="25C4053B"/>
    <w:rsid w:val="26345EB8"/>
    <w:rsid w:val="26613C9C"/>
    <w:rsid w:val="268D677C"/>
    <w:rsid w:val="28C36E5B"/>
    <w:rsid w:val="296410E7"/>
    <w:rsid w:val="29891A14"/>
    <w:rsid w:val="2AC94B23"/>
    <w:rsid w:val="2FA70C33"/>
    <w:rsid w:val="30E51FFA"/>
    <w:rsid w:val="31F51B43"/>
    <w:rsid w:val="345728CF"/>
    <w:rsid w:val="35380DEC"/>
    <w:rsid w:val="35E53982"/>
    <w:rsid w:val="37B9728E"/>
    <w:rsid w:val="3A3009C1"/>
    <w:rsid w:val="3C270270"/>
    <w:rsid w:val="3C3144A0"/>
    <w:rsid w:val="3E637D80"/>
    <w:rsid w:val="3F610EE9"/>
    <w:rsid w:val="41A57D4F"/>
    <w:rsid w:val="41EA0676"/>
    <w:rsid w:val="43261224"/>
    <w:rsid w:val="43483C33"/>
    <w:rsid w:val="43865C52"/>
    <w:rsid w:val="4CC304D7"/>
    <w:rsid w:val="4D3F016C"/>
    <w:rsid w:val="4E8826D6"/>
    <w:rsid w:val="4F9D29A5"/>
    <w:rsid w:val="52A620A8"/>
    <w:rsid w:val="54094EF8"/>
    <w:rsid w:val="548D4774"/>
    <w:rsid w:val="558C5CB9"/>
    <w:rsid w:val="563969B7"/>
    <w:rsid w:val="584A205C"/>
    <w:rsid w:val="58CB4E73"/>
    <w:rsid w:val="59B15D49"/>
    <w:rsid w:val="5BB8344B"/>
    <w:rsid w:val="5D1010C4"/>
    <w:rsid w:val="5DE222E5"/>
    <w:rsid w:val="5F5C7379"/>
    <w:rsid w:val="5F671046"/>
    <w:rsid w:val="613D7903"/>
    <w:rsid w:val="67163117"/>
    <w:rsid w:val="6A5B2C48"/>
    <w:rsid w:val="6D7D2FF7"/>
    <w:rsid w:val="6FA05B00"/>
    <w:rsid w:val="70520A43"/>
    <w:rsid w:val="7A7132C2"/>
    <w:rsid w:val="7C9B4B7C"/>
    <w:rsid w:val="7F9C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2021-05-06T06:54:00Z</dcterms:created>
  <dc:creator>43546826</dc:creator>
  <cp:lastModifiedBy>小丑</cp:lastModifiedBy>
  <dcterms:modified xsi:type="dcterms:W3CDTF">2021-06-08T11:47:39Z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6F32450AFB214555A23A11752CD6DDC9</vt:lpwstr>
  </property>
</Properties>
</file>