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sz w:val="48"/>
          <w:szCs w:val="48"/>
        </w:rPr>
      </w:pPr>
    </w:p>
    <w:p>
      <w:pPr>
        <w:spacing w:line="360" w:lineRule="auto"/>
        <w:rPr>
          <w:rFonts w:ascii="新宋体" w:hAnsi="新宋体" w:eastAsia="新宋体" w:cs="新宋体"/>
          <w:b/>
          <w:sz w:val="60"/>
          <w:szCs w:val="60"/>
        </w:rPr>
      </w:pPr>
      <w:r>
        <w:rPr>
          <w:rFonts w:hint="eastAsia" w:ascii="新宋体" w:hAnsi="新宋体" w:eastAsia="新宋体" w:cs="新宋体"/>
          <w:b/>
          <w:sz w:val="44"/>
          <w:szCs w:val="44"/>
        </w:rPr>
        <w:t xml:space="preserve">通许县农业农村局非洲猪瘟检测专用车采购 </w:t>
      </w:r>
    </w:p>
    <w:p>
      <w:pPr>
        <w:spacing w:line="360" w:lineRule="auto"/>
        <w:jc w:val="center"/>
        <w:rPr>
          <w:rFonts w:ascii="新宋体" w:hAnsi="新宋体" w:eastAsia="新宋体" w:cs="新宋体"/>
          <w:b/>
          <w:sz w:val="60"/>
          <w:szCs w:val="60"/>
        </w:rPr>
      </w:pPr>
    </w:p>
    <w:p>
      <w:pPr>
        <w:spacing w:line="360" w:lineRule="auto"/>
        <w:jc w:val="center"/>
        <w:rPr>
          <w:rFonts w:ascii="新宋体" w:hAnsi="新宋体" w:eastAsia="新宋体" w:cs="新宋体"/>
          <w:b/>
          <w:sz w:val="60"/>
          <w:szCs w:val="60"/>
        </w:rPr>
      </w:pPr>
      <w:r>
        <w:rPr>
          <w:rFonts w:hint="eastAsia" w:ascii="新宋体" w:hAnsi="新宋体" w:eastAsia="新宋体" w:cs="新宋体"/>
          <w:b/>
          <w:sz w:val="60"/>
          <w:szCs w:val="60"/>
        </w:rPr>
        <w:t>竞争性谈判文件</w:t>
      </w:r>
    </w:p>
    <w:p>
      <w:pPr>
        <w:spacing w:line="360" w:lineRule="auto"/>
        <w:jc w:val="center"/>
        <w:rPr>
          <w:rFonts w:ascii="新宋体" w:hAnsi="新宋体" w:eastAsia="新宋体" w:cs="新宋体"/>
          <w:b/>
          <w:sz w:val="60"/>
          <w:szCs w:val="60"/>
        </w:rPr>
      </w:pPr>
    </w:p>
    <w:p>
      <w:pPr>
        <w:spacing w:line="360" w:lineRule="auto"/>
        <w:jc w:val="center"/>
        <w:rPr>
          <w:rFonts w:ascii="新宋体" w:hAnsi="新宋体" w:eastAsia="新宋体" w:cs="新宋体"/>
          <w:sz w:val="22"/>
          <w:szCs w:val="22"/>
        </w:rPr>
      </w:pPr>
      <w:r>
        <w:rPr>
          <w:rFonts w:hint="eastAsia" w:ascii="新宋体" w:hAnsi="新宋体" w:eastAsia="新宋体" w:cs="新宋体"/>
          <w:sz w:val="22"/>
          <w:szCs w:val="22"/>
        </w:rPr>
        <w:t xml:space="preserve">项目编号：豫通财货物竞争性谈判（2020）003号 </w:t>
      </w:r>
    </w:p>
    <w:p>
      <w:pPr>
        <w:spacing w:line="360" w:lineRule="auto"/>
        <w:jc w:val="center"/>
        <w:rPr>
          <w:szCs w:val="21"/>
        </w:rPr>
      </w:pPr>
    </w:p>
    <w:p>
      <w:pPr>
        <w:spacing w:line="360" w:lineRule="auto"/>
        <w:jc w:val="center"/>
        <w:rPr>
          <w:szCs w:val="21"/>
        </w:rPr>
      </w:pPr>
    </w:p>
    <w:p>
      <w:pPr>
        <w:spacing w:line="360" w:lineRule="auto"/>
        <w:jc w:val="center"/>
        <w:rPr>
          <w:szCs w:val="21"/>
        </w:rPr>
      </w:pPr>
    </w:p>
    <w:p>
      <w:pPr>
        <w:spacing w:line="360" w:lineRule="auto"/>
        <w:jc w:val="center"/>
        <w:rPr>
          <w:rFonts w:ascii="新宋体" w:hAnsi="新宋体" w:eastAsia="新宋体" w:cs="新宋体"/>
          <w:b/>
          <w:szCs w:val="21"/>
        </w:rPr>
      </w:pPr>
    </w:p>
    <w:p>
      <w:pPr>
        <w:spacing w:line="360" w:lineRule="auto"/>
        <w:jc w:val="center"/>
        <w:rPr>
          <w:rFonts w:ascii="新宋体" w:hAnsi="新宋体" w:eastAsia="新宋体" w:cs="新宋体"/>
          <w:b/>
          <w:color w:val="000000"/>
          <w:szCs w:val="21"/>
        </w:rPr>
      </w:pPr>
      <w:r>
        <w:rPr>
          <w:rFonts w:hint="eastAsia" w:ascii="新宋体" w:hAnsi="新宋体" w:eastAsia="新宋体" w:cs="新宋体"/>
          <w:b/>
          <w:szCs w:val="21"/>
        </w:rPr>
        <w:drawing>
          <wp:inline distT="0" distB="0" distL="114300" distR="114300">
            <wp:extent cx="2743200" cy="2381250"/>
            <wp:effectExtent l="0" t="0" r="0" b="0"/>
            <wp:docPr id="1" name="图片 1" descr="258167926309433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58167926309433252"/>
                    <pic:cNvPicPr>
                      <a:picLocks noChangeAspect="1"/>
                    </pic:cNvPicPr>
                  </pic:nvPicPr>
                  <pic:blipFill>
                    <a:blip r:embed="rId4"/>
                    <a:stretch>
                      <a:fillRect/>
                    </a:stretch>
                  </pic:blipFill>
                  <pic:spPr>
                    <a:xfrm>
                      <a:off x="0" y="0"/>
                      <a:ext cx="2743200" cy="2381250"/>
                    </a:xfrm>
                    <a:prstGeom prst="rect">
                      <a:avLst/>
                    </a:prstGeom>
                    <a:noFill/>
                    <a:ln>
                      <a:noFill/>
                    </a:ln>
                  </pic:spPr>
                </pic:pic>
              </a:graphicData>
            </a:graphic>
          </wp:inline>
        </w:drawing>
      </w:r>
    </w:p>
    <w:p>
      <w:pPr>
        <w:spacing w:line="360" w:lineRule="auto"/>
        <w:jc w:val="center"/>
        <w:rPr>
          <w:rFonts w:ascii="新宋体" w:hAnsi="新宋体" w:eastAsia="新宋体" w:cs="新宋体"/>
          <w:b/>
          <w:color w:val="000000"/>
          <w:szCs w:val="21"/>
        </w:rPr>
      </w:pPr>
    </w:p>
    <w:p>
      <w:pPr>
        <w:jc w:val="left"/>
        <w:rPr>
          <w:rFonts w:ascii="新宋体" w:hAnsi="新宋体" w:eastAsia="新宋体" w:cs="新宋体"/>
          <w:b/>
          <w:color w:val="000000"/>
          <w:sz w:val="28"/>
          <w:szCs w:val="28"/>
        </w:rPr>
      </w:pPr>
    </w:p>
    <w:p>
      <w:pPr>
        <w:ind w:firstLine="1400" w:firstLineChars="500"/>
        <w:jc w:val="left"/>
        <w:rPr>
          <w:rFonts w:ascii="新宋体" w:hAnsi="新宋体" w:eastAsia="新宋体" w:cs="新宋体"/>
          <w:b/>
          <w:color w:val="000000"/>
          <w:sz w:val="28"/>
          <w:szCs w:val="28"/>
        </w:rPr>
      </w:pPr>
      <w:r>
        <w:rPr>
          <w:rFonts w:hint="eastAsia" w:ascii="新宋体" w:hAnsi="新宋体" w:eastAsia="新宋体" w:cs="新宋体"/>
          <w:b/>
          <w:color w:val="000000"/>
          <w:sz w:val="28"/>
          <w:szCs w:val="28"/>
        </w:rPr>
        <w:t>招   标  人：</w:t>
      </w:r>
      <w:r>
        <w:rPr>
          <w:rFonts w:hint="eastAsia" w:ascii="宋体" w:hAnsi="宋体" w:eastAsia="新宋体" w:cs="宋体"/>
          <w:b/>
          <w:sz w:val="28"/>
          <w:szCs w:val="22"/>
        </w:rPr>
        <w:t>通许县农业农村局</w:t>
      </w:r>
    </w:p>
    <w:p>
      <w:pPr>
        <w:jc w:val="left"/>
        <w:rPr>
          <w:rFonts w:ascii="宋体" w:hAnsi="宋体" w:eastAsia="宋体" w:cs="宋体"/>
          <w:b/>
          <w:sz w:val="28"/>
          <w:szCs w:val="22"/>
        </w:rPr>
      </w:pPr>
      <w:r>
        <w:rPr>
          <w:rFonts w:hint="eastAsia" w:ascii="新宋体" w:hAnsi="新宋体" w:eastAsia="新宋体" w:cs="新宋体"/>
          <w:b/>
          <w:color w:val="000000"/>
          <w:sz w:val="28"/>
          <w:szCs w:val="28"/>
        </w:rPr>
        <w:t xml:space="preserve">       </w:t>
      </w:r>
      <w:r>
        <w:rPr>
          <w:rFonts w:hint="eastAsia" w:ascii="新宋体" w:hAnsi="新宋体" w:eastAsia="新宋体" w:cs="新宋体"/>
          <w:b/>
          <w:color w:val="000000"/>
          <w:sz w:val="28"/>
          <w:szCs w:val="28"/>
          <w:lang w:val="en-US" w:eastAsia="zh-CN"/>
        </w:rPr>
        <w:t xml:space="preserve"> </w:t>
      </w:r>
      <w:r>
        <w:rPr>
          <w:rFonts w:hint="eastAsia" w:ascii="新宋体" w:hAnsi="新宋体" w:eastAsia="新宋体" w:cs="新宋体"/>
          <w:b/>
          <w:color w:val="000000"/>
          <w:sz w:val="28"/>
          <w:szCs w:val="28"/>
        </w:rPr>
        <w:t xml:space="preserve"> 招标代理机构：</w:t>
      </w:r>
      <w:r>
        <w:rPr>
          <w:rFonts w:hint="eastAsia" w:ascii="宋体" w:hAnsi="宋体" w:eastAsia="新宋体" w:cs="宋体"/>
          <w:b/>
          <w:sz w:val="28"/>
          <w:szCs w:val="22"/>
        </w:rPr>
        <w:t>河南正坤建设工程咨询有限公司</w:t>
      </w:r>
    </w:p>
    <w:p>
      <w:pPr>
        <w:spacing w:line="360" w:lineRule="auto"/>
        <w:jc w:val="left"/>
        <w:rPr>
          <w:rFonts w:ascii="新宋体" w:hAnsi="新宋体" w:eastAsia="新宋体" w:cs="新宋体"/>
          <w:b/>
          <w:color w:val="000000"/>
          <w:sz w:val="28"/>
          <w:szCs w:val="28"/>
        </w:rPr>
      </w:pPr>
      <w:r>
        <w:rPr>
          <w:rFonts w:hint="eastAsia" w:ascii="新宋体" w:hAnsi="新宋体" w:eastAsia="新宋体" w:cs="新宋体"/>
          <w:b/>
          <w:color w:val="000000"/>
          <w:sz w:val="28"/>
          <w:szCs w:val="28"/>
        </w:rPr>
        <w:t xml:space="preserve">                          二○二○年六月</w:t>
      </w:r>
      <w:bookmarkStart w:id="0" w:name="_Toc16508413"/>
    </w:p>
    <w:p>
      <w:pPr>
        <w:spacing w:line="360" w:lineRule="auto"/>
        <w:jc w:val="left"/>
        <w:rPr>
          <w:rFonts w:ascii="新宋体" w:hAnsi="新宋体" w:eastAsia="新宋体" w:cs="新宋体"/>
          <w:b/>
          <w:color w:val="000000"/>
          <w:sz w:val="28"/>
          <w:szCs w:val="28"/>
        </w:rPr>
      </w:pPr>
    </w:p>
    <w:p>
      <w:pPr>
        <w:spacing w:line="360" w:lineRule="auto"/>
        <w:jc w:val="left"/>
        <w:rPr>
          <w:rFonts w:ascii="新宋体" w:hAnsi="新宋体" w:eastAsia="新宋体" w:cs="新宋体"/>
          <w:b/>
          <w:color w:val="000000"/>
          <w:sz w:val="28"/>
          <w:szCs w:val="28"/>
        </w:rPr>
      </w:pPr>
    </w:p>
    <w:p>
      <w:pPr>
        <w:pStyle w:val="3"/>
        <w:widowControl/>
        <w:jc w:val="center"/>
        <w:rPr>
          <w:rFonts w:ascii="宋体" w:hAnsi="宋体" w:eastAsia="宋体" w:cs="宋体"/>
        </w:rPr>
      </w:pPr>
      <w:bookmarkStart w:id="1" w:name="_Toc31648093"/>
      <w:r>
        <w:rPr>
          <w:rFonts w:hint="eastAsia" w:ascii="宋体" w:hAnsi="宋体" w:eastAsia="宋体" w:cs="宋体"/>
        </w:rPr>
        <w:t>目录</w:t>
      </w:r>
      <w:bookmarkEnd w:id="0"/>
      <w:bookmarkEnd w:id="1"/>
    </w:p>
    <w:p>
      <w:pPr>
        <w:pStyle w:val="16"/>
        <w:widowControl/>
        <w:tabs>
          <w:tab w:val="right" w:leader="dot" w:pos="9515"/>
        </w:tabs>
      </w:pPr>
      <w:r>
        <w:rPr>
          <w:rFonts w:hint="eastAsia" w:ascii="宋体" w:hAnsi="宋体" w:cs="宋体"/>
          <w:sz w:val="28"/>
          <w:szCs w:val="28"/>
        </w:rPr>
        <w:fldChar w:fldCharType="begin"/>
      </w:r>
      <w:r>
        <w:rPr>
          <w:rFonts w:hint="eastAsia" w:ascii="宋体" w:hAnsi="宋体" w:cs="宋体"/>
          <w:sz w:val="28"/>
          <w:szCs w:val="28"/>
        </w:rPr>
        <w:instrText xml:space="preserve">TOC \o "1-2" \h \u </w:instrText>
      </w:r>
      <w:r>
        <w:rPr>
          <w:rFonts w:hint="eastAsia" w:ascii="宋体" w:hAnsi="宋体" w:cs="宋体"/>
          <w:sz w:val="28"/>
          <w:szCs w:val="28"/>
        </w:rPr>
        <w:fldChar w:fldCharType="separate"/>
      </w:r>
    </w:p>
    <w:p>
      <w:pPr>
        <w:pStyle w:val="14"/>
        <w:widowControl/>
        <w:tabs>
          <w:tab w:val="right" w:leader="dot" w:pos="9515"/>
        </w:tabs>
        <w:spacing w:line="480" w:lineRule="auto"/>
        <w:rPr>
          <w:rFonts w:ascii="宋体" w:hAnsi="宋体" w:cs="宋体"/>
        </w:rPr>
      </w:pPr>
      <w:r>
        <w:fldChar w:fldCharType="begin"/>
      </w:r>
      <w:r>
        <w:instrText xml:space="preserve"> HYPERLINK \l "_Toc31648094" </w:instrText>
      </w:r>
      <w:r>
        <w:fldChar w:fldCharType="separate"/>
      </w:r>
      <w:r>
        <w:rPr>
          <w:rStyle w:val="26"/>
          <w:rFonts w:hint="eastAsia" w:ascii="宋体" w:hAnsi="宋体" w:cs="宋体"/>
        </w:rPr>
        <w:t>第一章竞争性谈判公告</w:t>
      </w:r>
      <w:r>
        <w:rPr>
          <w:rStyle w:val="26"/>
          <w:rFonts w:hint="eastAsia" w:ascii="宋体" w:hAnsi="宋体" w:cs="宋体"/>
          <w:color w:val="auto"/>
        </w:rPr>
        <w:tab/>
      </w:r>
      <w:r>
        <w:rPr>
          <w:rStyle w:val="26"/>
          <w:rFonts w:hint="eastAsia" w:ascii="宋体" w:hAnsi="宋体" w:cs="宋体"/>
          <w:color w:val="auto"/>
        </w:rPr>
        <w:fldChar w:fldCharType="begin"/>
      </w:r>
      <w:r>
        <w:rPr>
          <w:rStyle w:val="26"/>
          <w:rFonts w:hint="eastAsia" w:ascii="宋体" w:hAnsi="宋体" w:cs="宋体"/>
          <w:color w:val="auto"/>
        </w:rPr>
        <w:instrText xml:space="preserve"> PAGEREF _Toc31648094 \h </w:instrText>
      </w:r>
      <w:r>
        <w:rPr>
          <w:rStyle w:val="26"/>
          <w:rFonts w:hint="eastAsia" w:ascii="宋体" w:hAnsi="宋体" w:cs="宋体"/>
          <w:color w:val="auto"/>
        </w:rPr>
        <w:fldChar w:fldCharType="separate"/>
      </w:r>
      <w:r>
        <w:rPr>
          <w:rStyle w:val="26"/>
          <w:rFonts w:hint="eastAsia" w:ascii="宋体" w:hAnsi="宋体" w:cs="宋体"/>
          <w:color w:val="auto"/>
        </w:rPr>
        <w:t>3</w:t>
      </w:r>
      <w:r>
        <w:rPr>
          <w:rStyle w:val="26"/>
          <w:rFonts w:hint="eastAsia" w:ascii="宋体" w:hAnsi="宋体" w:cs="宋体"/>
          <w:color w:val="auto"/>
        </w:rPr>
        <w:fldChar w:fldCharType="end"/>
      </w:r>
      <w:r>
        <w:rPr>
          <w:rStyle w:val="26"/>
          <w:rFonts w:hint="eastAsia" w:ascii="宋体" w:hAnsi="宋体" w:cs="宋体"/>
          <w:color w:val="auto"/>
        </w:rPr>
        <w:fldChar w:fldCharType="end"/>
      </w:r>
    </w:p>
    <w:p>
      <w:pPr>
        <w:pStyle w:val="14"/>
        <w:widowControl/>
        <w:tabs>
          <w:tab w:val="right" w:leader="dot" w:pos="9515"/>
        </w:tabs>
        <w:spacing w:line="480" w:lineRule="auto"/>
        <w:rPr>
          <w:rFonts w:ascii="宋体" w:hAnsi="宋体" w:cs="宋体"/>
        </w:rPr>
      </w:pPr>
      <w:r>
        <w:fldChar w:fldCharType="begin"/>
      </w:r>
      <w:r>
        <w:instrText xml:space="preserve"> HYPERLINK \l "_Toc31648095" </w:instrText>
      </w:r>
      <w:r>
        <w:fldChar w:fldCharType="separate"/>
      </w:r>
      <w:r>
        <w:rPr>
          <w:rStyle w:val="26"/>
          <w:rFonts w:hint="eastAsia" w:ascii="宋体" w:hAnsi="宋体" w:cs="宋体"/>
        </w:rPr>
        <w:t>第二章供应商须知及前附表</w:t>
      </w:r>
      <w:r>
        <w:rPr>
          <w:rStyle w:val="26"/>
          <w:rFonts w:hint="eastAsia" w:ascii="宋体" w:hAnsi="宋体" w:cs="宋体"/>
          <w:color w:val="auto"/>
        </w:rPr>
        <w:tab/>
      </w:r>
      <w:r>
        <w:rPr>
          <w:rStyle w:val="26"/>
          <w:rFonts w:hint="eastAsia" w:ascii="宋体" w:hAnsi="宋体" w:cs="宋体"/>
          <w:color w:val="auto"/>
        </w:rPr>
        <w:fldChar w:fldCharType="begin"/>
      </w:r>
      <w:r>
        <w:rPr>
          <w:rStyle w:val="26"/>
          <w:rFonts w:hint="eastAsia" w:ascii="宋体" w:hAnsi="宋体" w:cs="宋体"/>
          <w:color w:val="auto"/>
        </w:rPr>
        <w:instrText xml:space="preserve"> PAGEREF _Toc31648095 \h </w:instrText>
      </w:r>
      <w:r>
        <w:rPr>
          <w:rStyle w:val="26"/>
          <w:rFonts w:hint="eastAsia" w:ascii="宋体" w:hAnsi="宋体" w:cs="宋体"/>
          <w:color w:val="auto"/>
        </w:rPr>
        <w:fldChar w:fldCharType="separate"/>
      </w:r>
      <w:r>
        <w:rPr>
          <w:rStyle w:val="26"/>
          <w:rFonts w:hint="eastAsia" w:ascii="宋体" w:hAnsi="宋体" w:cs="宋体"/>
          <w:color w:val="auto"/>
        </w:rPr>
        <w:t>6</w:t>
      </w:r>
      <w:r>
        <w:rPr>
          <w:rStyle w:val="26"/>
          <w:rFonts w:hint="eastAsia" w:ascii="宋体" w:hAnsi="宋体" w:cs="宋体"/>
          <w:color w:val="auto"/>
        </w:rPr>
        <w:fldChar w:fldCharType="end"/>
      </w:r>
      <w:r>
        <w:rPr>
          <w:rStyle w:val="26"/>
          <w:rFonts w:hint="eastAsia" w:ascii="宋体" w:hAnsi="宋体" w:cs="宋体"/>
          <w:color w:val="auto"/>
        </w:rPr>
        <w:fldChar w:fldCharType="end"/>
      </w:r>
    </w:p>
    <w:p>
      <w:pPr>
        <w:pStyle w:val="14"/>
        <w:widowControl/>
        <w:tabs>
          <w:tab w:val="right" w:leader="dot" w:pos="9515"/>
        </w:tabs>
        <w:spacing w:line="480" w:lineRule="auto"/>
        <w:rPr>
          <w:rFonts w:ascii="宋体" w:hAnsi="宋体" w:cs="宋体"/>
        </w:rPr>
      </w:pPr>
      <w:r>
        <w:fldChar w:fldCharType="begin"/>
      </w:r>
      <w:r>
        <w:instrText xml:space="preserve"> HYPERLINK \l "_Toc31648102" </w:instrText>
      </w:r>
      <w:r>
        <w:fldChar w:fldCharType="separate"/>
      </w:r>
      <w:r>
        <w:rPr>
          <w:rStyle w:val="26"/>
          <w:rFonts w:hint="eastAsia" w:ascii="宋体" w:hAnsi="宋体" w:cs="宋体"/>
        </w:rPr>
        <w:t>第三章评标办法</w:t>
      </w:r>
      <w:r>
        <w:rPr>
          <w:rStyle w:val="26"/>
          <w:rFonts w:hint="eastAsia" w:ascii="宋体" w:hAnsi="宋体" w:cs="宋体"/>
          <w:color w:val="auto"/>
        </w:rPr>
        <w:tab/>
      </w:r>
      <w:r>
        <w:rPr>
          <w:rStyle w:val="26"/>
          <w:rFonts w:hint="eastAsia" w:ascii="宋体" w:hAnsi="宋体" w:cs="宋体"/>
          <w:color w:val="auto"/>
        </w:rPr>
        <w:fldChar w:fldCharType="begin"/>
      </w:r>
      <w:r>
        <w:rPr>
          <w:rStyle w:val="26"/>
          <w:rFonts w:hint="eastAsia" w:ascii="宋体" w:hAnsi="宋体" w:cs="宋体"/>
          <w:color w:val="auto"/>
        </w:rPr>
        <w:instrText xml:space="preserve"> PAGEREF _Toc31648102 \h </w:instrText>
      </w:r>
      <w:r>
        <w:rPr>
          <w:rStyle w:val="26"/>
          <w:rFonts w:hint="eastAsia" w:ascii="宋体" w:hAnsi="宋体" w:cs="宋体"/>
          <w:color w:val="auto"/>
        </w:rPr>
        <w:fldChar w:fldCharType="separate"/>
      </w:r>
      <w:r>
        <w:rPr>
          <w:rStyle w:val="26"/>
          <w:rFonts w:hint="eastAsia" w:ascii="宋体" w:hAnsi="宋体" w:cs="宋体"/>
          <w:color w:val="auto"/>
        </w:rPr>
        <w:t>16</w:t>
      </w:r>
      <w:r>
        <w:rPr>
          <w:rStyle w:val="26"/>
          <w:rFonts w:hint="eastAsia" w:ascii="宋体" w:hAnsi="宋体" w:cs="宋体"/>
          <w:color w:val="auto"/>
        </w:rPr>
        <w:fldChar w:fldCharType="end"/>
      </w:r>
      <w:r>
        <w:rPr>
          <w:rStyle w:val="26"/>
          <w:rFonts w:hint="eastAsia" w:ascii="宋体" w:hAnsi="宋体" w:cs="宋体"/>
          <w:color w:val="auto"/>
        </w:rPr>
        <w:fldChar w:fldCharType="end"/>
      </w:r>
    </w:p>
    <w:p>
      <w:pPr>
        <w:pStyle w:val="14"/>
        <w:widowControl/>
        <w:tabs>
          <w:tab w:val="right" w:leader="dot" w:pos="9515"/>
        </w:tabs>
        <w:spacing w:line="480" w:lineRule="auto"/>
        <w:rPr>
          <w:rFonts w:ascii="宋体" w:hAnsi="宋体" w:cs="宋体"/>
        </w:rPr>
      </w:pPr>
      <w:r>
        <w:fldChar w:fldCharType="begin"/>
      </w:r>
      <w:r>
        <w:instrText xml:space="preserve"> HYPERLINK \l "_Toc31648113" </w:instrText>
      </w:r>
      <w:r>
        <w:fldChar w:fldCharType="separate"/>
      </w:r>
      <w:r>
        <w:rPr>
          <w:rStyle w:val="26"/>
          <w:rFonts w:hint="eastAsia" w:ascii="宋体" w:hAnsi="宋体" w:cs="宋体"/>
        </w:rPr>
        <w:t>第四章合同样本</w:t>
      </w:r>
      <w:r>
        <w:rPr>
          <w:rStyle w:val="26"/>
          <w:rFonts w:hint="eastAsia" w:ascii="宋体" w:hAnsi="宋体" w:cs="宋体"/>
          <w:color w:val="auto"/>
        </w:rPr>
        <w:tab/>
      </w:r>
      <w:r>
        <w:rPr>
          <w:rStyle w:val="26"/>
          <w:rFonts w:hint="eastAsia" w:ascii="宋体" w:hAnsi="宋体" w:cs="宋体"/>
          <w:color w:val="auto"/>
        </w:rPr>
        <w:fldChar w:fldCharType="begin"/>
      </w:r>
      <w:r>
        <w:rPr>
          <w:rStyle w:val="26"/>
          <w:rFonts w:hint="eastAsia" w:ascii="宋体" w:hAnsi="宋体" w:cs="宋体"/>
          <w:color w:val="auto"/>
        </w:rPr>
        <w:instrText xml:space="preserve"> PAGEREF _Toc31648113 \h </w:instrText>
      </w:r>
      <w:r>
        <w:rPr>
          <w:rStyle w:val="26"/>
          <w:rFonts w:hint="eastAsia" w:ascii="宋体" w:hAnsi="宋体" w:cs="宋体"/>
          <w:color w:val="auto"/>
        </w:rPr>
        <w:fldChar w:fldCharType="separate"/>
      </w:r>
      <w:r>
        <w:rPr>
          <w:rStyle w:val="26"/>
          <w:rFonts w:hint="eastAsia" w:ascii="宋体" w:hAnsi="宋体" w:cs="宋体"/>
          <w:color w:val="auto"/>
        </w:rPr>
        <w:t>20</w:t>
      </w:r>
      <w:r>
        <w:rPr>
          <w:rStyle w:val="26"/>
          <w:rFonts w:hint="eastAsia" w:ascii="宋体" w:hAnsi="宋体" w:cs="宋体"/>
          <w:color w:val="auto"/>
        </w:rPr>
        <w:fldChar w:fldCharType="end"/>
      </w:r>
      <w:r>
        <w:rPr>
          <w:rStyle w:val="26"/>
          <w:rFonts w:hint="eastAsia" w:ascii="宋体" w:hAnsi="宋体" w:cs="宋体"/>
          <w:color w:val="auto"/>
        </w:rPr>
        <w:fldChar w:fldCharType="end"/>
      </w:r>
    </w:p>
    <w:p>
      <w:pPr>
        <w:pStyle w:val="14"/>
        <w:widowControl/>
        <w:tabs>
          <w:tab w:val="right" w:leader="dot" w:pos="9515"/>
        </w:tabs>
        <w:spacing w:line="480" w:lineRule="auto"/>
        <w:rPr>
          <w:rFonts w:ascii="宋体" w:hAnsi="宋体" w:cs="宋体"/>
        </w:rPr>
      </w:pPr>
      <w:r>
        <w:fldChar w:fldCharType="begin"/>
      </w:r>
      <w:r>
        <w:instrText xml:space="preserve"> HYPERLINK \l "_Toc31648114" </w:instrText>
      </w:r>
      <w:r>
        <w:fldChar w:fldCharType="separate"/>
      </w:r>
      <w:r>
        <w:rPr>
          <w:rStyle w:val="26"/>
          <w:rFonts w:hint="eastAsia" w:ascii="宋体" w:hAnsi="宋体" w:cs="宋体"/>
        </w:rPr>
        <w:t>第五章：服务内容及要求</w:t>
      </w:r>
      <w:r>
        <w:rPr>
          <w:rStyle w:val="26"/>
          <w:rFonts w:hint="eastAsia" w:ascii="宋体" w:hAnsi="宋体" w:cs="宋体"/>
          <w:color w:val="auto"/>
        </w:rPr>
        <w:tab/>
      </w:r>
      <w:r>
        <w:rPr>
          <w:rStyle w:val="26"/>
          <w:rFonts w:hint="eastAsia" w:ascii="宋体" w:hAnsi="宋体" w:cs="宋体"/>
          <w:color w:val="auto"/>
        </w:rPr>
        <w:fldChar w:fldCharType="begin"/>
      </w:r>
      <w:r>
        <w:rPr>
          <w:rStyle w:val="26"/>
          <w:rFonts w:hint="eastAsia" w:ascii="宋体" w:hAnsi="宋体" w:cs="宋体"/>
          <w:color w:val="auto"/>
        </w:rPr>
        <w:instrText xml:space="preserve"> PAGEREF _Toc31648114 \h </w:instrText>
      </w:r>
      <w:r>
        <w:rPr>
          <w:rStyle w:val="26"/>
          <w:rFonts w:hint="eastAsia" w:ascii="宋体" w:hAnsi="宋体" w:cs="宋体"/>
          <w:color w:val="auto"/>
        </w:rPr>
        <w:fldChar w:fldCharType="separate"/>
      </w:r>
      <w:r>
        <w:rPr>
          <w:rStyle w:val="26"/>
          <w:rFonts w:hint="eastAsia" w:ascii="宋体" w:hAnsi="宋体" w:cs="宋体"/>
          <w:color w:val="auto"/>
        </w:rPr>
        <w:t>25</w:t>
      </w:r>
      <w:r>
        <w:rPr>
          <w:rStyle w:val="26"/>
          <w:rFonts w:hint="eastAsia" w:ascii="宋体" w:hAnsi="宋体" w:cs="宋体"/>
          <w:color w:val="auto"/>
        </w:rPr>
        <w:fldChar w:fldCharType="end"/>
      </w:r>
      <w:r>
        <w:rPr>
          <w:rStyle w:val="26"/>
          <w:rFonts w:hint="eastAsia" w:ascii="宋体" w:hAnsi="宋体" w:cs="宋体"/>
          <w:color w:val="auto"/>
        </w:rPr>
        <w:fldChar w:fldCharType="end"/>
      </w:r>
    </w:p>
    <w:p>
      <w:pPr>
        <w:pStyle w:val="14"/>
        <w:widowControl/>
        <w:tabs>
          <w:tab w:val="right" w:leader="dot" w:pos="9515"/>
        </w:tabs>
        <w:spacing w:line="480" w:lineRule="auto"/>
        <w:rPr>
          <w:rFonts w:ascii="宋体" w:hAnsi="宋体" w:cs="宋体"/>
        </w:rPr>
      </w:pPr>
      <w:r>
        <w:fldChar w:fldCharType="begin"/>
      </w:r>
      <w:r>
        <w:instrText xml:space="preserve"> HYPERLINK \l "_Toc31648115" </w:instrText>
      </w:r>
      <w:r>
        <w:fldChar w:fldCharType="separate"/>
      </w:r>
      <w:r>
        <w:rPr>
          <w:rStyle w:val="26"/>
          <w:rFonts w:hint="eastAsia" w:ascii="宋体" w:hAnsi="宋体" w:cs="宋体"/>
        </w:rPr>
        <w:t>第六章 谈判文件格式</w:t>
      </w:r>
      <w:r>
        <w:rPr>
          <w:rStyle w:val="26"/>
          <w:rFonts w:hint="eastAsia" w:ascii="宋体" w:hAnsi="宋体" w:cs="宋体"/>
          <w:color w:val="auto"/>
        </w:rPr>
        <w:tab/>
      </w:r>
      <w:r>
        <w:rPr>
          <w:rStyle w:val="26"/>
          <w:rFonts w:hint="eastAsia" w:ascii="宋体" w:hAnsi="宋体" w:cs="宋体"/>
          <w:color w:val="auto"/>
        </w:rPr>
        <w:fldChar w:fldCharType="begin"/>
      </w:r>
      <w:r>
        <w:rPr>
          <w:rStyle w:val="26"/>
          <w:rFonts w:hint="eastAsia" w:ascii="宋体" w:hAnsi="宋体" w:cs="宋体"/>
          <w:color w:val="auto"/>
        </w:rPr>
        <w:instrText xml:space="preserve"> PAGEREF _Toc31648115 \h </w:instrText>
      </w:r>
      <w:r>
        <w:rPr>
          <w:rStyle w:val="26"/>
          <w:rFonts w:hint="eastAsia" w:ascii="宋体" w:hAnsi="宋体" w:cs="宋体"/>
          <w:color w:val="auto"/>
        </w:rPr>
        <w:fldChar w:fldCharType="separate"/>
      </w:r>
      <w:r>
        <w:rPr>
          <w:rStyle w:val="26"/>
          <w:rFonts w:hint="eastAsia" w:ascii="宋体" w:hAnsi="宋体" w:cs="宋体"/>
          <w:color w:val="auto"/>
        </w:rPr>
        <w:t>26</w:t>
      </w:r>
      <w:r>
        <w:rPr>
          <w:rStyle w:val="26"/>
          <w:rFonts w:hint="eastAsia" w:ascii="宋体" w:hAnsi="宋体" w:cs="宋体"/>
          <w:color w:val="auto"/>
        </w:rPr>
        <w:fldChar w:fldCharType="end"/>
      </w:r>
      <w:r>
        <w:rPr>
          <w:rStyle w:val="26"/>
          <w:rFonts w:hint="eastAsia" w:ascii="宋体" w:hAnsi="宋体" w:cs="宋体"/>
          <w:color w:val="auto"/>
        </w:rPr>
        <w:fldChar w:fldCharType="end"/>
      </w:r>
    </w:p>
    <w:p>
      <w:pPr>
        <w:spacing w:line="520" w:lineRule="exact"/>
        <w:jc w:val="left"/>
        <w:rPr>
          <w:rFonts w:ascii="宋体" w:hAnsi="宋体" w:eastAsia="宋体" w:cs="宋体"/>
        </w:rPr>
      </w:pPr>
      <w:r>
        <w:rPr>
          <w:rFonts w:hint="eastAsia" w:ascii="宋体" w:hAnsi="宋体" w:eastAsia="宋体" w:cs="宋体"/>
          <w:sz w:val="28"/>
          <w:szCs w:val="28"/>
        </w:rPr>
        <w:fldChar w:fldCharType="end"/>
      </w:r>
    </w:p>
    <w:p>
      <w:pPr>
        <w:spacing w:line="520" w:lineRule="exact"/>
        <w:jc w:val="left"/>
        <w:rPr>
          <w:rFonts w:ascii="宋体" w:hAnsi="宋体" w:eastAsia="宋体" w:cs="宋体"/>
          <w:sz w:val="28"/>
          <w:szCs w:val="28"/>
        </w:rPr>
      </w:pPr>
    </w:p>
    <w:p>
      <w:pPr>
        <w:spacing w:line="520" w:lineRule="exact"/>
        <w:jc w:val="left"/>
        <w:rPr>
          <w:rFonts w:ascii="宋体" w:hAnsi="宋体" w:eastAsia="宋体" w:cs="宋体"/>
        </w:rPr>
      </w:pPr>
    </w:p>
    <w:p>
      <w:pPr>
        <w:spacing w:line="520" w:lineRule="exact"/>
        <w:jc w:val="left"/>
        <w:rPr>
          <w:rFonts w:ascii="宋体" w:hAnsi="宋体" w:eastAsia="宋体" w:cs="宋体"/>
        </w:rPr>
      </w:pPr>
    </w:p>
    <w:p>
      <w:pPr>
        <w:spacing w:line="520" w:lineRule="exact"/>
        <w:jc w:val="left"/>
        <w:rPr>
          <w:rFonts w:ascii="宋体" w:hAnsi="宋体" w:eastAsia="宋体" w:cs="宋体"/>
        </w:rPr>
      </w:pPr>
    </w:p>
    <w:p>
      <w:pPr>
        <w:spacing w:line="520" w:lineRule="exact"/>
        <w:jc w:val="left"/>
        <w:rPr>
          <w:rFonts w:ascii="宋体" w:hAnsi="宋体" w:eastAsia="宋体" w:cs="宋体"/>
        </w:rPr>
      </w:pPr>
    </w:p>
    <w:p>
      <w:pPr>
        <w:spacing w:line="520" w:lineRule="exact"/>
        <w:jc w:val="left"/>
        <w:rPr>
          <w:rFonts w:ascii="宋体" w:hAnsi="宋体" w:eastAsia="宋体" w:cs="宋体"/>
        </w:rPr>
      </w:pPr>
    </w:p>
    <w:p>
      <w:pPr>
        <w:spacing w:line="520" w:lineRule="exact"/>
        <w:jc w:val="left"/>
        <w:rPr>
          <w:rFonts w:ascii="宋体" w:hAnsi="宋体" w:eastAsia="宋体" w:cs="宋体"/>
        </w:rPr>
      </w:pPr>
    </w:p>
    <w:p>
      <w:pPr>
        <w:spacing w:line="520" w:lineRule="exact"/>
        <w:jc w:val="left"/>
        <w:rPr>
          <w:rFonts w:ascii="宋体" w:hAnsi="宋体" w:eastAsia="宋体" w:cs="宋体"/>
        </w:rPr>
      </w:pPr>
    </w:p>
    <w:p>
      <w:pPr>
        <w:spacing w:line="520" w:lineRule="exact"/>
        <w:jc w:val="left"/>
        <w:rPr>
          <w:rFonts w:ascii="宋体" w:hAnsi="宋体" w:eastAsia="宋体" w:cs="宋体"/>
        </w:rPr>
      </w:pPr>
    </w:p>
    <w:p>
      <w:pPr>
        <w:spacing w:line="520" w:lineRule="exact"/>
        <w:jc w:val="left"/>
        <w:rPr>
          <w:rFonts w:ascii="宋体" w:hAnsi="宋体" w:eastAsia="宋体" w:cs="宋体"/>
        </w:rPr>
      </w:pPr>
    </w:p>
    <w:p>
      <w:pPr>
        <w:spacing w:line="520" w:lineRule="exact"/>
        <w:jc w:val="left"/>
        <w:rPr>
          <w:rFonts w:ascii="宋体" w:hAnsi="宋体" w:eastAsia="宋体" w:cs="宋体"/>
        </w:rPr>
      </w:pPr>
    </w:p>
    <w:p>
      <w:pPr>
        <w:spacing w:line="520" w:lineRule="exact"/>
        <w:jc w:val="left"/>
        <w:rPr>
          <w:rFonts w:ascii="宋体" w:hAnsi="宋体" w:eastAsia="宋体" w:cs="宋体"/>
        </w:rPr>
      </w:pPr>
    </w:p>
    <w:p>
      <w:pPr>
        <w:spacing w:line="520" w:lineRule="exact"/>
        <w:jc w:val="left"/>
        <w:rPr>
          <w:rFonts w:ascii="宋体" w:hAnsi="宋体" w:eastAsia="宋体" w:cs="宋体"/>
        </w:rPr>
      </w:pPr>
    </w:p>
    <w:p>
      <w:pPr>
        <w:spacing w:line="520" w:lineRule="exact"/>
        <w:jc w:val="left"/>
        <w:rPr>
          <w:rFonts w:ascii="宋体" w:hAnsi="宋体" w:eastAsia="宋体" w:cs="宋体"/>
        </w:rPr>
      </w:pPr>
    </w:p>
    <w:p>
      <w:pPr>
        <w:spacing w:line="520" w:lineRule="exact"/>
        <w:jc w:val="left"/>
        <w:rPr>
          <w:rFonts w:ascii="宋体" w:hAnsi="宋体" w:eastAsia="宋体" w:cs="宋体"/>
        </w:rPr>
      </w:pPr>
    </w:p>
    <w:p>
      <w:pPr>
        <w:spacing w:line="520" w:lineRule="exact"/>
        <w:jc w:val="left"/>
        <w:rPr>
          <w:rFonts w:ascii="宋体" w:hAnsi="宋体" w:eastAsia="宋体" w:cs="宋体"/>
        </w:rPr>
      </w:pPr>
    </w:p>
    <w:p>
      <w:pPr>
        <w:pStyle w:val="2"/>
        <w:spacing w:before="480" w:after="240" w:line="520" w:lineRule="exact"/>
        <w:ind w:left="0" w:firstLine="0"/>
        <w:jc w:val="center"/>
        <w:rPr>
          <w:rFonts w:hint="default"/>
          <w:b/>
          <w:u w:val="single"/>
        </w:rPr>
      </w:pPr>
      <w:bookmarkStart w:id="2" w:name="_Toc5455"/>
      <w:bookmarkStart w:id="3" w:name="_Toc31648094"/>
      <w:bookmarkStart w:id="4" w:name="_Toc296091533"/>
      <w:bookmarkStart w:id="5" w:name="_Toc166429300"/>
      <w:bookmarkStart w:id="6" w:name="_Toc433117084"/>
      <w:bookmarkStart w:id="7" w:name="_Toc13786"/>
      <w:r>
        <w:t>第一章</w:t>
      </w:r>
      <w:bookmarkEnd w:id="2"/>
      <w:r>
        <w:rPr>
          <w:b/>
          <w:u w:val="single"/>
        </w:rPr>
        <w:t>竞争性谈判公告</w:t>
      </w:r>
      <w:bookmarkEnd w:id="3"/>
    </w:p>
    <w:bookmarkEnd w:id="4"/>
    <w:p>
      <w:pPr>
        <w:spacing w:line="360" w:lineRule="auto"/>
        <w:ind w:firstLine="525" w:firstLineChars="250"/>
        <w:rPr>
          <w:rFonts w:ascii="宋体" w:hAnsi="宋体" w:eastAsia="宋体" w:cs="宋体"/>
          <w:b w:val="0"/>
          <w:bCs w:val="0"/>
          <w:color w:val="000000"/>
          <w:szCs w:val="21"/>
        </w:rPr>
      </w:pPr>
      <w:r>
        <w:rPr>
          <w:rFonts w:hint="eastAsia" w:ascii="宋体" w:hAnsi="宋体" w:eastAsia="宋体" w:cs="宋体"/>
          <w:b w:val="0"/>
          <w:bCs w:val="0"/>
          <w:color w:val="000000"/>
          <w:szCs w:val="21"/>
        </w:rPr>
        <w:t>河南正坤建设工程咨询有限公司</w:t>
      </w:r>
      <w:r>
        <w:rPr>
          <w:rFonts w:hint="eastAsia" w:ascii="宋体" w:hAnsi="宋体" w:eastAsia="宋体" w:cs="宋体"/>
          <w:b w:val="0"/>
          <w:bCs w:val="0"/>
          <w:szCs w:val="21"/>
        </w:rPr>
        <w:t>受</w:t>
      </w:r>
      <w:r>
        <w:rPr>
          <w:rFonts w:hint="eastAsia" w:ascii="宋体" w:hAnsi="宋体" w:eastAsia="宋体" w:cs="宋体"/>
          <w:b w:val="0"/>
          <w:bCs w:val="0"/>
          <w:color w:val="000000"/>
          <w:szCs w:val="21"/>
        </w:rPr>
        <w:t>通许县农业农村局的</w:t>
      </w:r>
      <w:r>
        <w:rPr>
          <w:rFonts w:hint="eastAsia" w:ascii="宋体" w:hAnsi="宋体" w:eastAsia="宋体" w:cs="宋体"/>
          <w:b w:val="0"/>
          <w:bCs w:val="0"/>
          <w:szCs w:val="21"/>
        </w:rPr>
        <w:t>委托，就</w:t>
      </w:r>
      <w:r>
        <w:rPr>
          <w:rFonts w:hint="eastAsia" w:ascii="宋体" w:hAnsi="宋体" w:eastAsia="宋体" w:cs="宋体"/>
          <w:b w:val="0"/>
          <w:bCs w:val="0"/>
          <w:color w:val="000000"/>
          <w:szCs w:val="21"/>
        </w:rPr>
        <w:t>通许县农业农村局非洲猪瘟检测专用车采购</w:t>
      </w:r>
      <w:r>
        <w:rPr>
          <w:rFonts w:hint="eastAsia" w:ascii="宋体" w:hAnsi="宋体" w:eastAsia="宋体" w:cs="宋体"/>
          <w:b w:val="0"/>
          <w:bCs w:val="0"/>
          <w:szCs w:val="21"/>
        </w:rPr>
        <w:t>进行竞争性谈判。资金来自财政拨款，项目已具备招标条件，现欢迎你单位参加投标。</w:t>
      </w:r>
    </w:p>
    <w:p>
      <w:pPr>
        <w:spacing w:line="360" w:lineRule="auto"/>
        <w:rPr>
          <w:rFonts w:ascii="宋体" w:hAnsi="宋体" w:eastAsia="宋体" w:cs="宋体"/>
          <w:b w:val="0"/>
          <w:bCs w:val="0"/>
          <w:szCs w:val="21"/>
        </w:rPr>
      </w:pPr>
      <w:r>
        <w:rPr>
          <w:rFonts w:hint="eastAsia" w:ascii="宋体" w:hAnsi="宋体" w:eastAsia="宋体" w:cs="宋体"/>
          <w:b w:val="0"/>
          <w:bCs w:val="0"/>
          <w:szCs w:val="21"/>
        </w:rPr>
        <w:t>一、项目概况及招标范围</w:t>
      </w:r>
    </w:p>
    <w:p>
      <w:pPr>
        <w:spacing w:line="360" w:lineRule="auto"/>
        <w:ind w:firstLine="420" w:firstLineChars="200"/>
        <w:jc w:val="left"/>
        <w:rPr>
          <w:rFonts w:ascii="宋体" w:hAnsi="宋体" w:eastAsia="宋体" w:cs="宋体"/>
          <w:b w:val="0"/>
          <w:bCs w:val="0"/>
          <w:szCs w:val="21"/>
        </w:rPr>
      </w:pPr>
      <w:r>
        <w:rPr>
          <w:rFonts w:hint="eastAsia" w:ascii="宋体" w:hAnsi="宋体" w:eastAsia="宋体" w:cs="宋体"/>
          <w:b w:val="0"/>
          <w:bCs w:val="0"/>
          <w:szCs w:val="21"/>
        </w:rPr>
        <w:t xml:space="preserve">1.1项目编号：豫通财货物竞争性谈判（2020）003号 </w:t>
      </w:r>
    </w:p>
    <w:p>
      <w:pPr>
        <w:spacing w:line="360" w:lineRule="auto"/>
        <w:ind w:firstLine="420" w:firstLineChars="200"/>
        <w:jc w:val="left"/>
        <w:rPr>
          <w:rFonts w:ascii="宋体" w:hAnsi="宋体" w:eastAsia="宋体" w:cs="宋体"/>
          <w:b w:val="0"/>
          <w:bCs w:val="0"/>
          <w:color w:val="000000"/>
          <w:szCs w:val="21"/>
        </w:rPr>
      </w:pPr>
      <w:r>
        <w:rPr>
          <w:rFonts w:hint="eastAsia" w:ascii="宋体" w:hAnsi="宋体" w:eastAsia="宋体" w:cs="宋体"/>
          <w:b w:val="0"/>
          <w:bCs w:val="0"/>
          <w:szCs w:val="21"/>
        </w:rPr>
        <w:t>1.2项目名称：</w:t>
      </w:r>
      <w:r>
        <w:rPr>
          <w:rFonts w:hint="eastAsia" w:ascii="宋体" w:hAnsi="宋体" w:eastAsia="宋体" w:cs="宋体"/>
          <w:b w:val="0"/>
          <w:bCs w:val="0"/>
          <w:color w:val="000000"/>
          <w:szCs w:val="21"/>
        </w:rPr>
        <w:t>通许县农业农村局非洲猪瘟检测专用车采购</w:t>
      </w:r>
    </w:p>
    <w:p>
      <w:pPr>
        <w:spacing w:line="360" w:lineRule="auto"/>
        <w:ind w:firstLine="420" w:firstLineChars="200"/>
        <w:rPr>
          <w:rFonts w:ascii="宋体" w:hAnsi="宋体" w:eastAsia="宋体" w:cs="宋体"/>
          <w:b w:val="0"/>
          <w:bCs w:val="0"/>
          <w:color w:val="000000"/>
          <w:szCs w:val="21"/>
        </w:rPr>
      </w:pPr>
      <w:r>
        <w:rPr>
          <w:rFonts w:hint="eastAsia" w:ascii="宋体" w:hAnsi="宋体" w:eastAsia="宋体" w:cs="宋体"/>
          <w:b w:val="0"/>
          <w:bCs w:val="0"/>
          <w:szCs w:val="21"/>
        </w:rPr>
        <w:t>1.3</w:t>
      </w:r>
      <w:r>
        <w:rPr>
          <w:rFonts w:hint="eastAsia" w:ascii="宋体" w:hAnsi="宋体" w:eastAsia="宋体" w:cs="宋体"/>
          <w:b w:val="0"/>
          <w:bCs w:val="0"/>
          <w:color w:val="000000"/>
          <w:szCs w:val="21"/>
        </w:rPr>
        <w:t>采购内容</w:t>
      </w:r>
      <w:r>
        <w:rPr>
          <w:rFonts w:hint="eastAsia" w:ascii="宋体" w:hAnsi="宋体" w:eastAsia="宋体" w:cs="宋体"/>
          <w:b w:val="0"/>
          <w:bCs w:val="0"/>
          <w:szCs w:val="21"/>
        </w:rPr>
        <w:t>：</w:t>
      </w:r>
      <w:r>
        <w:rPr>
          <w:rFonts w:hint="eastAsia" w:ascii="宋体" w:hAnsi="宋体" w:eastAsia="宋体" w:cs="宋体"/>
          <w:b w:val="0"/>
          <w:bCs w:val="0"/>
          <w:color w:val="000000"/>
          <w:szCs w:val="21"/>
        </w:rPr>
        <w:t>非洲猪瘟检测专用车采购</w:t>
      </w:r>
    </w:p>
    <w:p>
      <w:pPr>
        <w:spacing w:line="360" w:lineRule="auto"/>
        <w:ind w:firstLine="420" w:firstLineChars="200"/>
        <w:rPr>
          <w:rFonts w:ascii="宋体" w:hAnsi="宋体" w:eastAsia="宋体" w:cs="宋体"/>
          <w:b w:val="0"/>
          <w:bCs w:val="0"/>
          <w:szCs w:val="21"/>
        </w:rPr>
      </w:pPr>
      <w:r>
        <w:rPr>
          <w:rFonts w:hint="eastAsia" w:ascii="宋体" w:hAnsi="宋体" w:eastAsia="宋体" w:cs="宋体"/>
          <w:b w:val="0"/>
          <w:bCs w:val="0"/>
          <w:szCs w:val="21"/>
        </w:rPr>
        <w:t>1.4采购预算：35.5万元</w:t>
      </w:r>
    </w:p>
    <w:p>
      <w:pPr>
        <w:spacing w:line="360" w:lineRule="auto"/>
        <w:ind w:firstLine="420" w:firstLineChars="200"/>
        <w:rPr>
          <w:rFonts w:ascii="宋体" w:hAnsi="宋体" w:eastAsia="宋体" w:cs="宋体"/>
          <w:b w:val="0"/>
          <w:bCs w:val="0"/>
          <w:szCs w:val="21"/>
        </w:rPr>
      </w:pPr>
      <w:r>
        <w:rPr>
          <w:rFonts w:hint="eastAsia" w:ascii="宋体" w:hAnsi="宋体" w:eastAsia="宋体" w:cs="宋体"/>
          <w:b w:val="0"/>
          <w:bCs w:val="0"/>
          <w:szCs w:val="21"/>
        </w:rPr>
        <w:t>1.5资金来源：财政资金</w:t>
      </w:r>
    </w:p>
    <w:p>
      <w:pPr>
        <w:spacing w:line="360" w:lineRule="auto"/>
        <w:ind w:firstLine="420" w:firstLineChars="200"/>
        <w:rPr>
          <w:rFonts w:ascii="宋体" w:hAnsi="宋体" w:eastAsia="宋体" w:cs="宋体"/>
          <w:b w:val="0"/>
          <w:bCs w:val="0"/>
          <w:szCs w:val="21"/>
        </w:rPr>
      </w:pPr>
      <w:r>
        <w:rPr>
          <w:rFonts w:hint="eastAsia" w:ascii="宋体" w:hAnsi="宋体" w:eastAsia="宋体" w:cs="宋体"/>
          <w:b w:val="0"/>
          <w:bCs w:val="0"/>
          <w:szCs w:val="21"/>
        </w:rPr>
        <w:t>1.6质量要求：符合国家相关行业标准</w:t>
      </w:r>
    </w:p>
    <w:p>
      <w:pPr>
        <w:spacing w:line="360" w:lineRule="auto"/>
        <w:ind w:firstLine="420" w:firstLineChars="200"/>
        <w:rPr>
          <w:rFonts w:ascii="宋体" w:hAnsi="宋体" w:eastAsia="宋体" w:cs="宋体"/>
          <w:b w:val="0"/>
          <w:bCs w:val="0"/>
          <w:szCs w:val="21"/>
        </w:rPr>
      </w:pPr>
      <w:r>
        <w:rPr>
          <w:rFonts w:hint="eastAsia" w:ascii="宋体" w:hAnsi="宋体" w:eastAsia="宋体" w:cs="宋体"/>
          <w:b w:val="0"/>
          <w:bCs w:val="0"/>
          <w:szCs w:val="21"/>
        </w:rPr>
        <w:t>1.7</w:t>
      </w:r>
      <w:r>
        <w:rPr>
          <w:rFonts w:hint="eastAsia" w:ascii="宋体" w:hAnsi="宋体" w:eastAsia="宋体" w:cs="宋体"/>
          <w:b w:val="0"/>
          <w:bCs w:val="0"/>
          <w:color w:val="000000"/>
          <w:szCs w:val="21"/>
        </w:rPr>
        <w:t>交货期</w:t>
      </w:r>
      <w:r>
        <w:rPr>
          <w:rFonts w:hint="eastAsia" w:ascii="宋体" w:hAnsi="宋体" w:eastAsia="宋体" w:cs="宋体"/>
          <w:b w:val="0"/>
          <w:bCs w:val="0"/>
          <w:szCs w:val="21"/>
        </w:rPr>
        <w:t>：合同签订后30 日历天</w:t>
      </w:r>
    </w:p>
    <w:p>
      <w:pPr>
        <w:spacing w:line="360" w:lineRule="auto"/>
        <w:ind w:firstLine="420" w:firstLineChars="200"/>
        <w:rPr>
          <w:rFonts w:ascii="宋体" w:hAnsi="宋体" w:eastAsia="宋体" w:cs="宋体"/>
          <w:b w:val="0"/>
          <w:bCs w:val="0"/>
          <w:szCs w:val="21"/>
        </w:rPr>
      </w:pPr>
      <w:r>
        <w:rPr>
          <w:rFonts w:hint="eastAsia" w:ascii="宋体" w:hAnsi="宋体" w:eastAsia="宋体" w:cs="宋体"/>
          <w:b w:val="0"/>
          <w:bCs w:val="0"/>
          <w:szCs w:val="21"/>
        </w:rPr>
        <w:t>1.8质保期：一年</w:t>
      </w:r>
    </w:p>
    <w:p>
      <w:pPr>
        <w:spacing w:line="360" w:lineRule="auto"/>
        <w:ind w:firstLine="420" w:firstLineChars="200"/>
        <w:rPr>
          <w:rFonts w:ascii="宋体" w:hAnsi="宋体" w:eastAsia="宋体" w:cs="宋体"/>
          <w:b w:val="0"/>
          <w:bCs w:val="0"/>
          <w:color w:val="000000"/>
          <w:szCs w:val="21"/>
        </w:rPr>
      </w:pPr>
      <w:r>
        <w:rPr>
          <w:rFonts w:hint="eastAsia" w:ascii="宋体" w:hAnsi="宋体" w:eastAsia="宋体" w:cs="宋体"/>
          <w:b w:val="0"/>
          <w:bCs w:val="0"/>
          <w:szCs w:val="21"/>
        </w:rPr>
        <w:t>1.9标段划分：</w:t>
      </w:r>
      <w:r>
        <w:rPr>
          <w:rFonts w:hint="eastAsia" w:ascii="宋体" w:hAnsi="宋体" w:eastAsia="宋体" w:cs="宋体"/>
          <w:b w:val="0"/>
          <w:bCs w:val="0"/>
          <w:color w:val="000000"/>
          <w:szCs w:val="21"/>
        </w:rPr>
        <w:t>通许县农业农村局非洲猪瘟检测专用车采购</w:t>
      </w:r>
    </w:p>
    <w:p>
      <w:pPr>
        <w:spacing w:line="360" w:lineRule="auto"/>
        <w:rPr>
          <w:rFonts w:ascii="宋体" w:hAnsi="宋体" w:eastAsia="宋体" w:cs="宋体"/>
          <w:b w:val="0"/>
          <w:bCs w:val="0"/>
          <w:szCs w:val="21"/>
        </w:rPr>
      </w:pPr>
      <w:r>
        <w:rPr>
          <w:rFonts w:hint="eastAsia" w:ascii="宋体" w:hAnsi="宋体" w:eastAsia="宋体" w:cs="宋体"/>
          <w:b w:val="0"/>
          <w:bCs w:val="0"/>
          <w:szCs w:val="21"/>
        </w:rPr>
        <w:t>二、谈判资格要求：</w:t>
      </w:r>
    </w:p>
    <w:p>
      <w:pPr>
        <w:spacing w:line="360" w:lineRule="auto"/>
        <w:ind w:firstLine="420" w:firstLineChars="200"/>
        <w:rPr>
          <w:rFonts w:ascii="宋体" w:hAnsi="宋体" w:eastAsia="宋体" w:cs="宋体"/>
          <w:b w:val="0"/>
          <w:bCs w:val="0"/>
          <w:color w:val="000000"/>
          <w:szCs w:val="21"/>
        </w:rPr>
      </w:pPr>
      <w:r>
        <w:rPr>
          <w:rFonts w:hint="eastAsia" w:ascii="宋体" w:hAnsi="宋体" w:eastAsia="宋体" w:cs="宋体"/>
          <w:b w:val="0"/>
          <w:bCs w:val="0"/>
          <w:color w:val="000000"/>
          <w:szCs w:val="21"/>
        </w:rPr>
        <w:t>2.1、谈判人须符合《中华人民共和国政府采购法》第二十二条规定:</w:t>
      </w:r>
    </w:p>
    <w:p>
      <w:pPr>
        <w:spacing w:line="360" w:lineRule="auto"/>
        <w:ind w:firstLine="420" w:firstLineChars="200"/>
        <w:rPr>
          <w:rFonts w:ascii="宋体" w:hAnsi="宋体" w:eastAsia="宋体" w:cs="宋体"/>
          <w:b w:val="0"/>
          <w:bCs w:val="0"/>
          <w:color w:val="000000"/>
          <w:szCs w:val="21"/>
        </w:rPr>
      </w:pPr>
      <w:r>
        <w:rPr>
          <w:rFonts w:hint="eastAsia" w:ascii="宋体" w:hAnsi="宋体" w:eastAsia="宋体" w:cs="宋体"/>
          <w:b w:val="0"/>
          <w:bCs w:val="0"/>
          <w:color w:val="000000"/>
          <w:kern w:val="0"/>
          <w:szCs w:val="21"/>
        </w:rPr>
        <w:t>①</w:t>
      </w:r>
      <w:r>
        <w:rPr>
          <w:rFonts w:hint="eastAsia" w:ascii="宋体" w:hAnsi="宋体" w:eastAsia="宋体" w:cs="宋体"/>
          <w:b w:val="0"/>
          <w:bCs w:val="0"/>
          <w:color w:val="000000"/>
          <w:szCs w:val="21"/>
        </w:rPr>
        <w:t>有独立承担民事责任的能力；</w:t>
      </w:r>
      <w:r>
        <w:rPr>
          <w:rFonts w:hint="eastAsia" w:ascii="宋体" w:hAnsi="宋体" w:eastAsia="宋体" w:cs="宋体"/>
          <w:b w:val="0"/>
          <w:bCs w:val="0"/>
          <w:szCs w:val="21"/>
        </w:rPr>
        <w:t>备有效营业执照、税务登记证、组织机构代码证（或三证合一的营业执照）；</w:t>
      </w:r>
    </w:p>
    <w:p>
      <w:pPr>
        <w:spacing w:line="360" w:lineRule="auto"/>
        <w:ind w:firstLine="420" w:firstLineChars="200"/>
        <w:rPr>
          <w:rFonts w:ascii="宋体" w:hAnsi="宋体" w:eastAsia="宋体" w:cs="宋体"/>
          <w:b w:val="0"/>
          <w:bCs w:val="0"/>
          <w:color w:val="000000"/>
          <w:szCs w:val="21"/>
        </w:rPr>
      </w:pPr>
      <w:r>
        <w:rPr>
          <w:rFonts w:hint="eastAsia" w:ascii="宋体" w:hAnsi="宋体" w:eastAsia="宋体" w:cs="宋体"/>
          <w:b w:val="0"/>
          <w:bCs w:val="0"/>
          <w:color w:val="000000"/>
          <w:szCs w:val="21"/>
        </w:rPr>
        <w:t>②具有良好的商业信誉和健全的财务会计制度；（提供企业2018年度经审计的财务报告或2019年度的财务报表，新成立的公司，提供自成立以来的）；</w:t>
      </w:r>
    </w:p>
    <w:p>
      <w:pPr>
        <w:spacing w:line="360" w:lineRule="auto"/>
        <w:ind w:firstLine="420" w:firstLineChars="200"/>
        <w:rPr>
          <w:rFonts w:ascii="宋体" w:hAnsi="宋体" w:eastAsia="宋体" w:cs="宋体"/>
          <w:b w:val="0"/>
          <w:bCs w:val="0"/>
          <w:color w:val="000000"/>
          <w:szCs w:val="21"/>
        </w:rPr>
      </w:pPr>
      <w:r>
        <w:rPr>
          <w:rFonts w:hint="eastAsia" w:ascii="宋体" w:hAnsi="宋体" w:eastAsia="宋体" w:cs="宋体"/>
          <w:b w:val="0"/>
          <w:bCs w:val="0"/>
          <w:color w:val="000000"/>
          <w:szCs w:val="21"/>
        </w:rPr>
        <w:t>③具有履行合同所必需的设备和专业技术能力；（格式自拟，自行承诺）；</w:t>
      </w:r>
    </w:p>
    <w:p>
      <w:pPr>
        <w:spacing w:line="360" w:lineRule="auto"/>
        <w:ind w:firstLine="420" w:firstLineChars="200"/>
        <w:rPr>
          <w:rFonts w:ascii="宋体" w:hAnsi="宋体" w:eastAsia="宋体" w:cs="宋体"/>
          <w:b w:val="0"/>
          <w:bCs w:val="0"/>
          <w:color w:val="000000"/>
          <w:szCs w:val="21"/>
        </w:rPr>
      </w:pPr>
      <w:r>
        <w:rPr>
          <w:rFonts w:hint="eastAsia" w:ascii="宋体" w:hAnsi="宋体" w:eastAsia="宋体" w:cs="宋体"/>
          <w:b w:val="0"/>
          <w:bCs w:val="0"/>
          <w:color w:val="000000"/>
          <w:szCs w:val="21"/>
        </w:rPr>
        <w:t>④有依法缴纳税收和社会保障资金的良好记录（提供近半年任意3个月缴纳税收和社会保障资金的相关材料）；</w:t>
      </w:r>
    </w:p>
    <w:p>
      <w:pPr>
        <w:spacing w:line="360" w:lineRule="auto"/>
        <w:ind w:firstLine="420" w:firstLineChars="200"/>
        <w:rPr>
          <w:rFonts w:ascii="宋体" w:hAnsi="宋体" w:eastAsia="宋体" w:cs="宋体"/>
          <w:b w:val="0"/>
          <w:bCs w:val="0"/>
          <w:color w:val="000000"/>
          <w:szCs w:val="21"/>
        </w:rPr>
      </w:pPr>
      <w:r>
        <w:rPr>
          <w:rFonts w:hint="eastAsia" w:ascii="宋体" w:hAnsi="宋体" w:eastAsia="宋体" w:cs="宋体"/>
          <w:b w:val="0"/>
          <w:bCs w:val="0"/>
          <w:color w:val="000000"/>
          <w:szCs w:val="21"/>
        </w:rPr>
        <w:t>⑤参加政府采购活动前三年内，在经营活动中没有重大违法记录；（格式自拟，自行承诺）</w:t>
      </w:r>
    </w:p>
    <w:p>
      <w:pPr>
        <w:spacing w:line="360" w:lineRule="auto"/>
        <w:ind w:firstLine="420" w:firstLineChars="200"/>
        <w:rPr>
          <w:rFonts w:ascii="宋体" w:hAnsi="宋体" w:eastAsia="宋体" w:cs="宋体"/>
          <w:b w:val="0"/>
          <w:bCs w:val="0"/>
          <w:color w:val="000000"/>
          <w:szCs w:val="21"/>
        </w:rPr>
      </w:pPr>
      <w:r>
        <w:rPr>
          <w:rFonts w:hint="eastAsia" w:ascii="宋体" w:hAnsi="宋体" w:eastAsia="宋体" w:cs="宋体"/>
          <w:b w:val="0"/>
          <w:bCs w:val="0"/>
          <w:color w:val="000000"/>
          <w:szCs w:val="21"/>
        </w:rPr>
        <w:t>2.2、根据财政部《关于在政府采购活动中查询及使用信用记录有关问题的通知》财库【2016】125号文件，评审委员会应当在评审时对供应商信用记录查询并在资格和符合性审查中注明是否通过，对列入失信被执行人、重大税收违法案件当事人名单、政府采购严重违法失信行为记录名单及其他不附合《政府采购法》第二十二条规定条件的供应商，将拒绝其参与政府采购活动；【信用信息查询渠道：“信用中国”网站（www.creditchina.gov.cn）和中国政府采购网（www.ccgp.gov.cn）】。</w:t>
      </w:r>
    </w:p>
    <w:p>
      <w:pPr>
        <w:spacing w:line="360" w:lineRule="auto"/>
        <w:ind w:firstLine="420" w:firstLineChars="200"/>
        <w:rPr>
          <w:rFonts w:ascii="宋体" w:hAnsi="宋体" w:eastAsia="宋体" w:cs="宋体"/>
          <w:b w:val="0"/>
          <w:bCs w:val="0"/>
          <w:color w:val="000000"/>
          <w:szCs w:val="21"/>
        </w:rPr>
      </w:pPr>
      <w:r>
        <w:rPr>
          <w:rFonts w:hint="eastAsia" w:ascii="宋体" w:hAnsi="宋体" w:eastAsia="宋体" w:cs="宋体"/>
          <w:b w:val="0"/>
          <w:bCs w:val="0"/>
          <w:color w:val="000000"/>
          <w:szCs w:val="21"/>
        </w:rPr>
        <w:t>2.3、不接受联合体报名；</w:t>
      </w:r>
    </w:p>
    <w:p>
      <w:pPr>
        <w:spacing w:line="360" w:lineRule="auto"/>
        <w:rPr>
          <w:rFonts w:ascii="宋体" w:hAnsi="宋体" w:eastAsia="宋体" w:cs="宋体"/>
          <w:b w:val="0"/>
          <w:bCs w:val="0"/>
          <w:szCs w:val="21"/>
        </w:rPr>
      </w:pPr>
      <w:r>
        <w:rPr>
          <w:rFonts w:hint="eastAsia" w:ascii="宋体" w:hAnsi="宋体" w:eastAsia="宋体" w:cs="宋体"/>
          <w:b w:val="0"/>
          <w:bCs w:val="0"/>
          <w:szCs w:val="21"/>
        </w:rPr>
        <w:t>三、竞争性谈判文件的获取</w:t>
      </w:r>
    </w:p>
    <w:p>
      <w:pPr>
        <w:spacing w:line="360" w:lineRule="auto"/>
        <w:ind w:firstLine="420" w:firstLineChars="200"/>
        <w:rPr>
          <w:rFonts w:ascii="宋体" w:hAnsi="宋体" w:eastAsia="宋体" w:cs="宋体"/>
          <w:b w:val="0"/>
          <w:bCs w:val="0"/>
          <w:color w:val="000000"/>
          <w:szCs w:val="21"/>
        </w:rPr>
      </w:pPr>
      <w:r>
        <w:rPr>
          <w:rFonts w:hint="eastAsia" w:ascii="宋体" w:hAnsi="宋体" w:eastAsia="宋体" w:cs="宋体"/>
          <w:b w:val="0"/>
          <w:bCs w:val="0"/>
          <w:color w:val="000000"/>
          <w:szCs w:val="21"/>
        </w:rPr>
        <w:t>3.1、谈判文件下载时间：2020年6月30日 9：00至2020年7 月2日17：00；</w:t>
      </w:r>
    </w:p>
    <w:p>
      <w:pPr>
        <w:spacing w:line="360" w:lineRule="auto"/>
        <w:ind w:firstLine="420" w:firstLineChars="200"/>
        <w:rPr>
          <w:rFonts w:ascii="宋体" w:hAnsi="宋体" w:eastAsia="宋体" w:cs="宋体"/>
          <w:b w:val="0"/>
          <w:bCs w:val="0"/>
          <w:color w:val="000000"/>
          <w:szCs w:val="21"/>
        </w:rPr>
      </w:pPr>
      <w:r>
        <w:rPr>
          <w:rFonts w:hint="eastAsia" w:ascii="宋体" w:hAnsi="宋体" w:eastAsia="宋体" w:cs="宋体"/>
          <w:b w:val="0"/>
          <w:bCs w:val="0"/>
          <w:color w:val="000000"/>
          <w:szCs w:val="21"/>
        </w:rPr>
        <w:t>3.2、谈判文件获取方式：投标人应注册成为开封市公共资源交易中心网站会员并取得 CA密钥,凭CA密钥登录开封市公共资源交易网（http://www.kfsggzyjyw.cn）会员系统，按要求下载电子谈判文件。投标人未按规定下载电子谈判文件的，其投标将被拒绝。</w:t>
      </w:r>
    </w:p>
    <w:p>
      <w:pPr>
        <w:spacing w:line="360" w:lineRule="auto"/>
        <w:ind w:firstLine="420" w:firstLineChars="200"/>
        <w:rPr>
          <w:rFonts w:ascii="宋体" w:hAnsi="宋体" w:eastAsia="宋体" w:cs="宋体"/>
          <w:b w:val="0"/>
          <w:bCs w:val="0"/>
          <w:color w:val="000000"/>
          <w:szCs w:val="21"/>
        </w:rPr>
      </w:pPr>
      <w:r>
        <w:rPr>
          <w:rFonts w:hint="eastAsia" w:ascii="宋体" w:hAnsi="宋体" w:eastAsia="宋体" w:cs="宋体"/>
          <w:b w:val="0"/>
          <w:bCs w:val="0"/>
          <w:color w:val="000000"/>
          <w:szCs w:val="21"/>
        </w:rPr>
        <w:t xml:space="preserve">3.3、获取谈判文件后，投标人请到开封市公共资源交易中心网站登录政采、工程业务系统，凭CA密钥登录会员系统，在“组件下载”中下载最新版本的投标文件制作工具安装包，并使用安装后的最新版本投标文件制作工具制作电子投标文件。 </w:t>
      </w:r>
    </w:p>
    <w:p>
      <w:pPr>
        <w:spacing w:line="360" w:lineRule="auto"/>
        <w:ind w:firstLine="420" w:firstLineChars="200"/>
        <w:rPr>
          <w:rFonts w:ascii="宋体" w:hAnsi="宋体" w:eastAsia="宋体" w:cs="宋体"/>
          <w:b w:val="0"/>
          <w:bCs w:val="0"/>
          <w:color w:val="000000"/>
          <w:szCs w:val="21"/>
        </w:rPr>
      </w:pPr>
      <w:r>
        <w:rPr>
          <w:rFonts w:hint="eastAsia" w:ascii="宋体" w:hAnsi="宋体" w:eastAsia="宋体" w:cs="宋体"/>
          <w:b w:val="0"/>
          <w:bCs w:val="0"/>
          <w:color w:val="000000"/>
          <w:szCs w:val="21"/>
        </w:rPr>
        <w:t>3.4、请投标人时刻关注开封市公共资源交易中心网站和公司CA密钥推送消息。</w:t>
      </w:r>
    </w:p>
    <w:p>
      <w:pPr>
        <w:spacing w:line="360" w:lineRule="auto"/>
        <w:rPr>
          <w:rFonts w:ascii="宋体" w:hAnsi="宋体" w:eastAsia="宋体" w:cs="宋体"/>
          <w:b w:val="0"/>
          <w:bCs w:val="0"/>
          <w:szCs w:val="21"/>
        </w:rPr>
      </w:pPr>
      <w:r>
        <w:rPr>
          <w:rFonts w:hint="eastAsia" w:ascii="宋体" w:hAnsi="宋体" w:eastAsia="宋体" w:cs="宋体"/>
          <w:b w:val="0"/>
          <w:bCs w:val="0"/>
          <w:szCs w:val="21"/>
        </w:rPr>
        <w:t>四、谈判文件递交截止时间及地点：</w:t>
      </w:r>
    </w:p>
    <w:p>
      <w:pPr>
        <w:spacing w:line="360" w:lineRule="auto"/>
        <w:ind w:firstLine="420" w:firstLineChars="200"/>
        <w:rPr>
          <w:rFonts w:ascii="宋体" w:hAnsi="宋体" w:eastAsia="宋体" w:cs="宋体"/>
          <w:b w:val="0"/>
          <w:bCs w:val="0"/>
          <w:szCs w:val="21"/>
          <w:highlight w:val="yellow"/>
        </w:rPr>
      </w:pPr>
      <w:r>
        <w:rPr>
          <w:rFonts w:hint="eastAsia" w:ascii="宋体" w:hAnsi="宋体" w:eastAsia="宋体" w:cs="宋体"/>
          <w:b w:val="0"/>
          <w:bCs w:val="0"/>
          <w:szCs w:val="21"/>
        </w:rPr>
        <w:t>4.1、投标人需要上传电子谈判响应文件。</w:t>
      </w:r>
    </w:p>
    <w:p>
      <w:pPr>
        <w:spacing w:line="360" w:lineRule="auto"/>
        <w:ind w:firstLine="420" w:firstLineChars="200"/>
        <w:rPr>
          <w:rFonts w:ascii="宋体" w:hAnsi="宋体" w:eastAsia="宋体" w:cs="宋体"/>
          <w:b w:val="0"/>
          <w:bCs w:val="0"/>
          <w:szCs w:val="21"/>
          <w:highlight w:val="none"/>
        </w:rPr>
      </w:pPr>
      <w:r>
        <w:rPr>
          <w:rFonts w:hint="eastAsia" w:ascii="宋体" w:hAnsi="宋体" w:eastAsia="宋体" w:cs="宋体"/>
          <w:b w:val="0"/>
          <w:bCs w:val="0"/>
          <w:szCs w:val="21"/>
          <w:highlight w:val="none"/>
        </w:rPr>
        <w:t>4.2、电子谈判响应文件递交截止时间：2020年7月3 日10时00分（北京时间）；</w:t>
      </w:r>
    </w:p>
    <w:p>
      <w:pPr>
        <w:spacing w:line="360" w:lineRule="auto"/>
        <w:ind w:firstLine="420" w:firstLineChars="200"/>
        <w:rPr>
          <w:rFonts w:ascii="宋体" w:hAnsi="宋体" w:eastAsia="宋体" w:cs="宋体"/>
          <w:b w:val="0"/>
          <w:bCs w:val="0"/>
          <w:szCs w:val="21"/>
        </w:rPr>
      </w:pPr>
      <w:r>
        <w:rPr>
          <w:rFonts w:hint="eastAsia" w:ascii="宋体" w:hAnsi="宋体" w:eastAsia="宋体" w:cs="宋体"/>
          <w:b w:val="0"/>
          <w:bCs w:val="0"/>
          <w:szCs w:val="21"/>
        </w:rPr>
        <w:t>4.3、电子谈判响应文件须在投标截止时间前在开封市公共资源交易中心网站</w:t>
      </w:r>
    </w:p>
    <w:p>
      <w:pPr>
        <w:spacing w:line="360" w:lineRule="auto"/>
        <w:ind w:firstLine="420" w:firstLineChars="200"/>
        <w:rPr>
          <w:rFonts w:ascii="宋体" w:hAnsi="宋体" w:eastAsia="宋体" w:cs="宋体"/>
          <w:b w:val="0"/>
          <w:bCs w:val="0"/>
          <w:szCs w:val="21"/>
        </w:rPr>
      </w:pPr>
      <w:r>
        <w:rPr>
          <w:rFonts w:hint="eastAsia" w:ascii="宋体" w:hAnsi="宋体" w:eastAsia="宋体" w:cs="宋体"/>
          <w:b w:val="0"/>
          <w:bCs w:val="0"/>
          <w:szCs w:val="21"/>
        </w:rPr>
        <w:t>（http://www.kfsggzyjyw.cn:8080/ygpt/WebUserLoginIndex.html）会员系统中加密上传； 地址：通许县政务服务中心4楼第二开标室（通许县裕丰路西段南侧）。</w:t>
      </w:r>
    </w:p>
    <w:p>
      <w:pPr>
        <w:spacing w:line="360" w:lineRule="auto"/>
        <w:ind w:firstLine="420" w:firstLineChars="200"/>
        <w:rPr>
          <w:rFonts w:ascii="宋体" w:hAnsi="宋体" w:eastAsia="宋体" w:cs="宋体"/>
          <w:b w:val="0"/>
          <w:bCs w:val="0"/>
          <w:szCs w:val="21"/>
        </w:rPr>
      </w:pPr>
      <w:r>
        <w:rPr>
          <w:rFonts w:hint="eastAsia" w:ascii="宋体" w:hAnsi="宋体" w:eastAsia="宋体" w:cs="宋体"/>
          <w:b w:val="0"/>
          <w:bCs w:val="0"/>
          <w:szCs w:val="21"/>
        </w:rPr>
        <w:t>4.4、加密电子谈判响应文件逾期上传的或者未上传指定网站的，招标人不予受理。</w:t>
      </w:r>
    </w:p>
    <w:p>
      <w:pPr>
        <w:spacing w:line="360" w:lineRule="auto"/>
        <w:ind w:firstLine="420" w:firstLineChars="200"/>
        <w:rPr>
          <w:rFonts w:ascii="宋体" w:hAnsi="宋体" w:eastAsia="宋体" w:cs="宋体"/>
          <w:b w:val="0"/>
          <w:bCs w:val="0"/>
          <w:szCs w:val="21"/>
        </w:rPr>
      </w:pPr>
      <w:r>
        <w:rPr>
          <w:rFonts w:hint="eastAsia" w:ascii="宋体" w:hAnsi="宋体" w:eastAsia="宋体" w:cs="宋体"/>
          <w:b w:val="0"/>
          <w:bCs w:val="0"/>
          <w:szCs w:val="21"/>
        </w:rPr>
        <w:t>4.5、谈判响应人按开标程序解密投标文件。</w:t>
      </w:r>
    </w:p>
    <w:p>
      <w:pPr>
        <w:spacing w:line="360" w:lineRule="auto"/>
        <w:ind w:firstLine="420" w:firstLineChars="200"/>
        <w:rPr>
          <w:rFonts w:ascii="宋体" w:hAnsi="宋体" w:eastAsia="宋体" w:cs="宋体"/>
          <w:b w:val="0"/>
          <w:bCs w:val="0"/>
          <w:szCs w:val="21"/>
        </w:rPr>
      </w:pPr>
      <w:r>
        <w:rPr>
          <w:rFonts w:hint="eastAsia" w:ascii="宋体" w:hAnsi="宋体" w:eastAsia="宋体" w:cs="宋体"/>
          <w:b w:val="0"/>
          <w:bCs w:val="0"/>
          <w:szCs w:val="21"/>
        </w:rPr>
        <w:t xml:space="preserve">注：本项目为见面开标，为全力做好新型冠状病疫情防控工作，要求前来现场参加开标会议的投标人,请按开封市新型冠状病毒感染的肺炎疫情防控指挥部的相关规定,出示《河南省新冠肺炎健康申报证明》或《开封市疫情防控健康服务码》绿码证明, 凡来参加开标会议的投标人原则限派一人代表参加开标活动,并携带投标人承诺书（投标人承诺书在附件中下载）；各投标人应在投标截止时间后自行登录系统（代理机构不提供解密电脑），进行投标文件解密，解密时间为30分钟；如因上述材料准备不足,未能按时到达开标现场的,后果自负。 </w:t>
      </w:r>
    </w:p>
    <w:p>
      <w:pPr>
        <w:spacing w:line="360" w:lineRule="auto"/>
        <w:rPr>
          <w:rFonts w:ascii="宋体" w:hAnsi="宋体" w:eastAsia="宋体" w:cs="宋体"/>
          <w:b w:val="0"/>
          <w:bCs w:val="0"/>
          <w:szCs w:val="21"/>
        </w:rPr>
      </w:pPr>
      <w:r>
        <w:rPr>
          <w:rFonts w:hint="eastAsia" w:ascii="宋体" w:hAnsi="宋体" w:eastAsia="宋体" w:cs="宋体"/>
          <w:b w:val="0"/>
          <w:bCs w:val="0"/>
          <w:szCs w:val="21"/>
        </w:rPr>
        <w:t>五、谈判时间及地点</w:t>
      </w:r>
    </w:p>
    <w:p>
      <w:pPr>
        <w:spacing w:line="360" w:lineRule="auto"/>
        <w:ind w:firstLine="420" w:firstLineChars="200"/>
        <w:rPr>
          <w:rFonts w:ascii="宋体" w:hAnsi="宋体" w:eastAsia="宋体" w:cs="宋体"/>
          <w:b w:val="0"/>
          <w:bCs w:val="0"/>
          <w:szCs w:val="21"/>
          <w:highlight w:val="none"/>
        </w:rPr>
      </w:pPr>
      <w:r>
        <w:rPr>
          <w:rFonts w:hint="eastAsia" w:ascii="宋体" w:hAnsi="宋体" w:eastAsia="宋体" w:cs="宋体"/>
          <w:b w:val="0"/>
          <w:bCs w:val="0"/>
          <w:szCs w:val="21"/>
          <w:highlight w:val="none"/>
        </w:rPr>
        <w:t>5.1谈判时间：2020年 7月3日10时00分（北京时间）</w:t>
      </w:r>
    </w:p>
    <w:p>
      <w:pPr>
        <w:spacing w:line="360" w:lineRule="auto"/>
        <w:ind w:firstLine="420" w:firstLineChars="200"/>
        <w:rPr>
          <w:rFonts w:ascii="宋体" w:hAnsi="宋体" w:eastAsia="宋体" w:cs="宋体"/>
          <w:b w:val="0"/>
          <w:bCs w:val="0"/>
          <w:szCs w:val="21"/>
        </w:rPr>
      </w:pPr>
      <w:r>
        <w:rPr>
          <w:rFonts w:hint="eastAsia" w:ascii="宋体" w:hAnsi="宋体" w:eastAsia="宋体" w:cs="宋体"/>
          <w:b w:val="0"/>
          <w:bCs w:val="0"/>
          <w:szCs w:val="21"/>
        </w:rPr>
        <w:t>5.2谈判地点：通许县公共资源交易中心第二开标室（通许县政务服务中心4楼）通许县裕丰路西段。</w:t>
      </w:r>
    </w:p>
    <w:p>
      <w:pPr>
        <w:spacing w:line="360" w:lineRule="auto"/>
        <w:rPr>
          <w:rFonts w:ascii="宋体" w:hAnsi="宋体" w:eastAsia="宋体" w:cs="宋体"/>
          <w:b w:val="0"/>
          <w:bCs w:val="0"/>
          <w:szCs w:val="21"/>
        </w:rPr>
      </w:pPr>
      <w:r>
        <w:rPr>
          <w:rFonts w:hint="eastAsia" w:ascii="宋体" w:hAnsi="宋体" w:eastAsia="宋体" w:cs="宋体"/>
          <w:b w:val="0"/>
          <w:bCs w:val="0"/>
          <w:szCs w:val="21"/>
        </w:rPr>
        <w:t>六、公告发布媒体</w:t>
      </w:r>
      <w:r>
        <w:rPr>
          <w:rFonts w:hint="eastAsia" w:ascii="宋体" w:hAnsi="宋体" w:eastAsia="宋体" w:cs="宋体"/>
          <w:b w:val="0"/>
          <w:bCs w:val="0"/>
          <w:szCs w:val="21"/>
        </w:rPr>
        <w:br w:type="textWrapping"/>
      </w:r>
      <w:r>
        <w:rPr>
          <w:rFonts w:hint="eastAsia" w:ascii="宋体" w:hAnsi="宋体" w:eastAsia="宋体" w:cs="宋体"/>
          <w:b w:val="0"/>
          <w:bCs w:val="0"/>
          <w:szCs w:val="21"/>
        </w:rPr>
        <w:t>  本次竞争性谈判公告在《河南省政府采购网》、《开封市公共资源交易中心网》上同时发布。</w:t>
      </w:r>
    </w:p>
    <w:p>
      <w:pPr>
        <w:spacing w:line="360" w:lineRule="auto"/>
        <w:rPr>
          <w:rFonts w:ascii="宋体" w:hAnsi="宋体" w:eastAsia="宋体" w:cs="宋体"/>
          <w:b w:val="0"/>
          <w:bCs w:val="0"/>
          <w:szCs w:val="21"/>
        </w:rPr>
      </w:pPr>
      <w:r>
        <w:rPr>
          <w:rFonts w:hint="eastAsia" w:ascii="宋体" w:hAnsi="宋体" w:eastAsia="宋体" w:cs="宋体"/>
          <w:b w:val="0"/>
          <w:bCs w:val="0"/>
          <w:szCs w:val="21"/>
        </w:rPr>
        <w:t>七、联系事项：</w:t>
      </w:r>
    </w:p>
    <w:p>
      <w:pPr>
        <w:spacing w:line="360" w:lineRule="auto"/>
        <w:ind w:left="315" w:leftChars="150"/>
        <w:jc w:val="left"/>
        <w:rPr>
          <w:rFonts w:ascii="宋体" w:hAnsi="宋体" w:eastAsia="宋体" w:cs="宋体"/>
          <w:b w:val="0"/>
          <w:bCs w:val="0"/>
          <w:szCs w:val="21"/>
        </w:rPr>
      </w:pPr>
      <w:r>
        <w:rPr>
          <w:rFonts w:hint="eastAsia" w:ascii="宋体" w:hAnsi="宋体" w:eastAsia="宋体" w:cs="宋体"/>
          <w:b w:val="0"/>
          <w:bCs w:val="0"/>
          <w:szCs w:val="21"/>
        </w:rPr>
        <w:t>招 标 人：通许县农业农村局</w:t>
      </w:r>
    </w:p>
    <w:p>
      <w:pPr>
        <w:spacing w:line="360" w:lineRule="auto"/>
        <w:ind w:left="315" w:leftChars="150"/>
        <w:jc w:val="left"/>
        <w:rPr>
          <w:rFonts w:ascii="宋体" w:hAnsi="宋体" w:eastAsia="宋体" w:cs="宋体"/>
          <w:b w:val="0"/>
          <w:bCs w:val="0"/>
          <w:szCs w:val="21"/>
        </w:rPr>
      </w:pPr>
      <w:r>
        <w:rPr>
          <w:rFonts w:hint="eastAsia" w:ascii="宋体" w:hAnsi="宋体" w:eastAsia="宋体" w:cs="宋体"/>
          <w:b w:val="0"/>
          <w:bCs w:val="0"/>
          <w:szCs w:val="21"/>
        </w:rPr>
        <w:t>地  址：通许县老县政府院内</w:t>
      </w:r>
    </w:p>
    <w:p>
      <w:pPr>
        <w:spacing w:line="360" w:lineRule="auto"/>
        <w:ind w:left="315" w:leftChars="150"/>
        <w:jc w:val="left"/>
        <w:rPr>
          <w:rFonts w:ascii="宋体" w:hAnsi="宋体" w:eastAsia="宋体" w:cs="宋体"/>
          <w:b w:val="0"/>
          <w:bCs w:val="0"/>
          <w:szCs w:val="21"/>
        </w:rPr>
      </w:pPr>
      <w:r>
        <w:rPr>
          <w:rFonts w:hint="eastAsia" w:ascii="宋体" w:hAnsi="宋体" w:eastAsia="宋体" w:cs="宋体"/>
          <w:b w:val="0"/>
          <w:bCs w:val="0"/>
          <w:szCs w:val="21"/>
        </w:rPr>
        <w:t xml:space="preserve">联 系 人：张先生    </w:t>
      </w:r>
    </w:p>
    <w:p>
      <w:pPr>
        <w:spacing w:line="360" w:lineRule="auto"/>
        <w:ind w:left="315" w:leftChars="150"/>
        <w:jc w:val="left"/>
        <w:rPr>
          <w:rFonts w:ascii="宋体" w:hAnsi="宋体" w:eastAsia="宋体" w:cs="宋体"/>
          <w:b w:val="0"/>
          <w:bCs w:val="0"/>
          <w:szCs w:val="21"/>
        </w:rPr>
      </w:pPr>
      <w:r>
        <w:rPr>
          <w:rFonts w:hint="eastAsia" w:ascii="宋体" w:hAnsi="宋体" w:eastAsia="宋体" w:cs="宋体"/>
          <w:b w:val="0"/>
          <w:bCs w:val="0"/>
          <w:szCs w:val="21"/>
        </w:rPr>
        <w:t>联系电话：18737816388</w:t>
      </w:r>
    </w:p>
    <w:p>
      <w:pPr>
        <w:spacing w:line="360" w:lineRule="auto"/>
        <w:ind w:left="315" w:leftChars="150"/>
        <w:jc w:val="left"/>
        <w:rPr>
          <w:rFonts w:ascii="宋体" w:hAnsi="宋体" w:eastAsia="宋体" w:cs="宋体"/>
          <w:b w:val="0"/>
          <w:bCs w:val="0"/>
          <w:szCs w:val="21"/>
        </w:rPr>
      </w:pPr>
      <w:r>
        <w:rPr>
          <w:rFonts w:hint="eastAsia" w:ascii="宋体" w:hAnsi="宋体" w:eastAsia="宋体" w:cs="宋体"/>
          <w:b w:val="0"/>
          <w:bCs w:val="0"/>
          <w:szCs w:val="21"/>
        </w:rPr>
        <w:t>代理机构：河南正坤建设工程咨询有限公司</w:t>
      </w:r>
    </w:p>
    <w:p>
      <w:pPr>
        <w:spacing w:line="360" w:lineRule="auto"/>
        <w:ind w:left="315" w:leftChars="150"/>
        <w:jc w:val="left"/>
        <w:rPr>
          <w:rFonts w:ascii="宋体" w:hAnsi="宋体" w:eastAsia="宋体" w:cs="宋体"/>
          <w:b w:val="0"/>
          <w:bCs w:val="0"/>
          <w:szCs w:val="21"/>
        </w:rPr>
      </w:pPr>
      <w:r>
        <w:rPr>
          <w:rFonts w:hint="eastAsia" w:ascii="宋体" w:hAnsi="宋体" w:eastAsia="宋体" w:cs="宋体"/>
          <w:b w:val="0"/>
          <w:bCs w:val="0"/>
          <w:szCs w:val="21"/>
        </w:rPr>
        <w:t>地址：焦作市解放区塔南路569号-4付03号</w:t>
      </w:r>
      <w:r>
        <w:rPr>
          <w:rFonts w:hint="eastAsia" w:ascii="宋体" w:hAnsi="宋体" w:eastAsia="宋体" w:cs="宋体"/>
          <w:b w:val="0"/>
          <w:bCs w:val="0"/>
          <w:szCs w:val="21"/>
        </w:rPr>
        <w:br w:type="textWrapping"/>
      </w:r>
      <w:r>
        <w:rPr>
          <w:rFonts w:hint="eastAsia" w:ascii="宋体" w:hAnsi="宋体" w:eastAsia="宋体" w:cs="宋体"/>
          <w:b w:val="0"/>
          <w:bCs w:val="0"/>
          <w:szCs w:val="21"/>
        </w:rPr>
        <w:t xml:space="preserve">联 系 人：马先生 </w:t>
      </w:r>
      <w:r>
        <w:rPr>
          <w:rFonts w:hint="eastAsia" w:ascii="宋体" w:hAnsi="宋体" w:eastAsia="宋体" w:cs="宋体"/>
          <w:b w:val="0"/>
          <w:bCs w:val="0"/>
          <w:szCs w:val="21"/>
        </w:rPr>
        <w:br w:type="textWrapping"/>
      </w:r>
      <w:r>
        <w:rPr>
          <w:rFonts w:hint="eastAsia" w:ascii="宋体" w:hAnsi="宋体" w:eastAsia="宋体" w:cs="宋体"/>
          <w:b w:val="0"/>
          <w:bCs w:val="0"/>
          <w:szCs w:val="21"/>
        </w:rPr>
        <w:t>联系电话：0371-22028657</w:t>
      </w:r>
    </w:p>
    <w:p>
      <w:pPr>
        <w:spacing w:line="360" w:lineRule="auto"/>
        <w:jc w:val="left"/>
        <w:rPr>
          <w:rFonts w:ascii="宋体" w:hAnsi="宋体" w:eastAsia="宋体" w:cs="宋体"/>
          <w:b w:val="0"/>
          <w:bCs w:val="0"/>
          <w:szCs w:val="21"/>
        </w:rPr>
      </w:pPr>
      <w:r>
        <w:rPr>
          <w:rFonts w:hint="eastAsia" w:ascii="宋体" w:hAnsi="宋体" w:eastAsia="宋体" w:cs="宋体"/>
          <w:b w:val="0"/>
          <w:bCs w:val="0"/>
          <w:szCs w:val="21"/>
        </w:rPr>
        <w:t>八、监督部门及联系方式：</w:t>
      </w:r>
    </w:p>
    <w:p>
      <w:pPr>
        <w:spacing w:line="360" w:lineRule="auto"/>
        <w:ind w:left="315" w:leftChars="150"/>
        <w:jc w:val="left"/>
        <w:rPr>
          <w:rFonts w:ascii="宋体" w:hAnsi="宋体" w:eastAsia="宋体" w:cs="宋体"/>
          <w:b w:val="0"/>
          <w:bCs w:val="0"/>
          <w:szCs w:val="21"/>
        </w:rPr>
      </w:pPr>
      <w:r>
        <w:rPr>
          <w:rFonts w:hint="eastAsia" w:ascii="宋体" w:hAnsi="宋体" w:eastAsia="宋体" w:cs="宋体"/>
          <w:b w:val="0"/>
          <w:bCs w:val="0"/>
          <w:szCs w:val="21"/>
        </w:rPr>
        <w:t>监督部门：通许县财政局（政府采购办）</w:t>
      </w:r>
    </w:p>
    <w:p>
      <w:pPr>
        <w:spacing w:line="360" w:lineRule="auto"/>
        <w:ind w:left="315" w:leftChars="150"/>
        <w:jc w:val="left"/>
        <w:rPr>
          <w:rFonts w:ascii="宋体" w:hAnsi="宋体" w:eastAsia="宋体" w:cs="宋体"/>
          <w:b w:val="0"/>
          <w:bCs w:val="0"/>
          <w:szCs w:val="21"/>
        </w:rPr>
      </w:pPr>
      <w:r>
        <w:rPr>
          <w:rFonts w:hint="eastAsia" w:ascii="宋体" w:hAnsi="宋体" w:eastAsia="宋体" w:cs="宋体"/>
          <w:b w:val="0"/>
          <w:bCs w:val="0"/>
          <w:szCs w:val="21"/>
        </w:rPr>
        <w:t>统一社会信用代码：114102220053476361</w:t>
      </w:r>
    </w:p>
    <w:p>
      <w:pPr>
        <w:spacing w:line="360" w:lineRule="auto"/>
        <w:ind w:left="315" w:leftChars="150"/>
        <w:jc w:val="left"/>
        <w:rPr>
          <w:rFonts w:ascii="宋体" w:hAnsi="宋体" w:eastAsia="宋体" w:cs="宋体"/>
          <w:b w:val="0"/>
          <w:bCs w:val="0"/>
          <w:szCs w:val="21"/>
        </w:rPr>
      </w:pPr>
      <w:r>
        <w:rPr>
          <w:rFonts w:hint="eastAsia" w:ascii="宋体" w:hAnsi="宋体" w:eastAsia="宋体" w:cs="宋体"/>
          <w:b w:val="0"/>
          <w:bCs w:val="0"/>
          <w:szCs w:val="21"/>
        </w:rPr>
        <w:t>联系人：李先生、田先生</w:t>
      </w:r>
    </w:p>
    <w:p>
      <w:pPr>
        <w:spacing w:line="360" w:lineRule="auto"/>
        <w:ind w:left="315" w:leftChars="150"/>
        <w:jc w:val="left"/>
        <w:rPr>
          <w:rFonts w:ascii="宋体" w:hAnsi="宋体" w:eastAsia="宋体" w:cs="宋体"/>
          <w:b w:val="0"/>
          <w:bCs w:val="0"/>
          <w:szCs w:val="21"/>
        </w:rPr>
      </w:pPr>
      <w:r>
        <w:rPr>
          <w:rFonts w:hint="eastAsia" w:ascii="宋体" w:hAnsi="宋体" w:eastAsia="宋体" w:cs="宋体"/>
          <w:b w:val="0"/>
          <w:bCs w:val="0"/>
          <w:szCs w:val="21"/>
        </w:rPr>
        <w:t>联系方式：0371—22305031</w:t>
      </w:r>
    </w:p>
    <w:p>
      <w:pPr>
        <w:spacing w:line="360" w:lineRule="auto"/>
        <w:ind w:left="315" w:leftChars="150"/>
        <w:jc w:val="left"/>
        <w:rPr>
          <w:rFonts w:ascii="宋体" w:hAnsi="宋体" w:eastAsia="宋体" w:cs="宋体"/>
          <w:szCs w:val="21"/>
        </w:rPr>
      </w:pPr>
    </w:p>
    <w:p/>
    <w:p>
      <w:pPr>
        <w:pStyle w:val="2"/>
        <w:spacing w:line="520" w:lineRule="exact"/>
        <w:ind w:left="459" w:leftChars="219" w:firstLine="2100" w:firstLineChars="700"/>
        <w:rPr>
          <w:rFonts w:hint="default"/>
          <w:sz w:val="30"/>
          <w:szCs w:val="30"/>
        </w:rPr>
      </w:pPr>
      <w:bookmarkStart w:id="8" w:name="_Toc31648095"/>
    </w:p>
    <w:p>
      <w:pPr>
        <w:pStyle w:val="2"/>
        <w:spacing w:line="520" w:lineRule="exact"/>
        <w:ind w:left="459" w:leftChars="219" w:firstLine="2100" w:firstLineChars="700"/>
        <w:rPr>
          <w:rFonts w:hint="default"/>
          <w:sz w:val="30"/>
          <w:szCs w:val="30"/>
        </w:rPr>
      </w:pPr>
    </w:p>
    <w:p>
      <w:pPr>
        <w:pStyle w:val="2"/>
        <w:spacing w:line="520" w:lineRule="exact"/>
        <w:ind w:left="459" w:leftChars="219" w:firstLine="2100" w:firstLineChars="700"/>
        <w:rPr>
          <w:rFonts w:hint="default"/>
          <w:sz w:val="30"/>
          <w:szCs w:val="30"/>
        </w:rPr>
      </w:pPr>
    </w:p>
    <w:p>
      <w:pPr>
        <w:pStyle w:val="2"/>
        <w:spacing w:line="520" w:lineRule="exact"/>
        <w:ind w:left="459" w:leftChars="219" w:firstLine="2100" w:firstLineChars="700"/>
        <w:rPr>
          <w:rFonts w:hint="default"/>
          <w:sz w:val="30"/>
          <w:szCs w:val="30"/>
        </w:rPr>
      </w:pPr>
    </w:p>
    <w:p>
      <w:pPr>
        <w:pStyle w:val="2"/>
        <w:spacing w:line="520" w:lineRule="exact"/>
        <w:ind w:left="459" w:leftChars="219" w:firstLine="2100" w:firstLineChars="700"/>
        <w:rPr>
          <w:rFonts w:hint="default"/>
          <w:sz w:val="30"/>
          <w:szCs w:val="30"/>
        </w:rPr>
      </w:pPr>
    </w:p>
    <w:p>
      <w:pPr>
        <w:pStyle w:val="2"/>
        <w:spacing w:line="520" w:lineRule="exact"/>
        <w:ind w:left="459" w:leftChars="219" w:firstLine="2100" w:firstLineChars="700"/>
        <w:rPr>
          <w:rFonts w:hint="default"/>
          <w:sz w:val="30"/>
          <w:szCs w:val="30"/>
        </w:rPr>
      </w:pPr>
    </w:p>
    <w:p>
      <w:pPr>
        <w:pStyle w:val="2"/>
        <w:spacing w:line="520" w:lineRule="exact"/>
        <w:ind w:left="459" w:leftChars="219" w:firstLine="2100" w:firstLineChars="700"/>
        <w:rPr>
          <w:rFonts w:hint="default"/>
          <w:sz w:val="30"/>
          <w:szCs w:val="30"/>
        </w:rPr>
      </w:pPr>
    </w:p>
    <w:p>
      <w:pPr>
        <w:pStyle w:val="2"/>
        <w:spacing w:line="520" w:lineRule="exact"/>
        <w:ind w:left="459" w:leftChars="219" w:firstLine="2100" w:firstLineChars="700"/>
        <w:rPr>
          <w:rFonts w:hint="default"/>
          <w:sz w:val="30"/>
          <w:szCs w:val="30"/>
        </w:rPr>
      </w:pPr>
    </w:p>
    <w:p/>
    <w:p/>
    <w:p/>
    <w:p/>
    <w:p/>
    <w:p/>
    <w:p/>
    <w:p>
      <w:pPr>
        <w:pStyle w:val="2"/>
        <w:spacing w:line="520" w:lineRule="exact"/>
        <w:ind w:left="459" w:leftChars="219" w:firstLine="2100" w:firstLineChars="700"/>
        <w:rPr>
          <w:rFonts w:hint="default" w:ascii="宋体" w:eastAsia="宋体" w:cs="宋体"/>
          <w:b/>
          <w:sz w:val="30"/>
          <w:szCs w:val="30"/>
        </w:rPr>
      </w:pPr>
      <w:r>
        <w:rPr>
          <w:sz w:val="30"/>
          <w:szCs w:val="30"/>
        </w:rPr>
        <w:t>第二章供应商须知及前附</w:t>
      </w:r>
      <w:bookmarkEnd w:id="5"/>
      <w:bookmarkEnd w:id="6"/>
      <w:bookmarkEnd w:id="7"/>
      <w:r>
        <w:rPr>
          <w:sz w:val="30"/>
          <w:szCs w:val="30"/>
        </w:rPr>
        <w:t>表</w:t>
      </w:r>
      <w:bookmarkEnd w:id="8"/>
    </w:p>
    <w:p>
      <w:pPr>
        <w:pStyle w:val="3"/>
        <w:widowControl/>
        <w:jc w:val="center"/>
        <w:rPr>
          <w:sz w:val="28"/>
          <w:szCs w:val="28"/>
        </w:rPr>
      </w:pPr>
      <w:bookmarkStart w:id="9" w:name="_Toc16508416"/>
      <w:bookmarkStart w:id="10" w:name="_Toc31648096"/>
      <w:r>
        <w:rPr>
          <w:rFonts w:hint="eastAsia" w:cs="黑体"/>
          <w:sz w:val="28"/>
          <w:szCs w:val="28"/>
        </w:rPr>
        <w:t>供应商须知前附表</w:t>
      </w:r>
      <w:bookmarkEnd w:id="9"/>
      <w:bookmarkEnd w:id="10"/>
    </w:p>
    <w:tbl>
      <w:tblPr>
        <w:tblStyle w:val="21"/>
        <w:tblW w:w="10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039"/>
        <w:gridCol w:w="7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b/>
                <w:szCs w:val="21"/>
              </w:rPr>
            </w:pPr>
            <w:r>
              <w:rPr>
                <w:rFonts w:hint="eastAsia" w:ascii="宋体" w:hAnsi="宋体" w:eastAsia="宋体" w:cs="宋体"/>
                <w:b/>
                <w:szCs w:val="21"/>
              </w:rPr>
              <w:t>序号</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b/>
                <w:szCs w:val="21"/>
              </w:rPr>
            </w:pPr>
            <w:r>
              <w:rPr>
                <w:rFonts w:hint="eastAsia" w:ascii="宋体" w:hAnsi="宋体" w:eastAsia="宋体" w:cs="宋体"/>
                <w:b/>
                <w:szCs w:val="21"/>
              </w:rPr>
              <w:t>项  目</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b/>
                <w:szCs w:val="21"/>
              </w:rPr>
            </w:pPr>
            <w:r>
              <w:rPr>
                <w:rFonts w:hint="eastAsia" w:ascii="宋体" w:hAnsi="宋体" w:eastAsia="宋体" w:cs="宋体"/>
                <w:b/>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1</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项目编号</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rPr>
                <w:rFonts w:ascii="宋体" w:hAnsi="宋体" w:eastAsia="宋体" w:cs="宋体"/>
                <w:bCs/>
                <w:szCs w:val="21"/>
              </w:rPr>
            </w:pPr>
            <w:r>
              <w:rPr>
                <w:rFonts w:hint="eastAsia" w:ascii="宋体" w:hAnsi="宋体" w:eastAsia="宋体" w:cs="宋体"/>
                <w:bCs/>
                <w:szCs w:val="21"/>
              </w:rPr>
              <w:t>豫通财货物竞争性谈判（2020）003号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2</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项目名称</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rPr>
                <w:rFonts w:ascii="宋体" w:hAnsi="宋体" w:eastAsia="宋体" w:cs="宋体"/>
                <w:bCs/>
                <w:szCs w:val="21"/>
              </w:rPr>
            </w:pPr>
            <w:r>
              <w:rPr>
                <w:rFonts w:hint="eastAsia" w:ascii="宋体" w:hAnsi="宋体" w:eastAsia="宋体" w:cs="宋体"/>
                <w:bCs/>
                <w:szCs w:val="21"/>
              </w:rPr>
              <w:t>通许县农业农村局非洲猪瘟检测专用车采购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jc w:val="center"/>
        </w:trPr>
        <w:tc>
          <w:tcPr>
            <w:tcW w:w="8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3</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采购人</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00" w:lineRule="exact"/>
              <w:rPr>
                <w:rFonts w:ascii="宋体" w:hAnsi="宋体" w:eastAsia="宋体" w:cs="宋体"/>
                <w:bCs/>
                <w:szCs w:val="21"/>
              </w:rPr>
            </w:pPr>
            <w:r>
              <w:rPr>
                <w:rFonts w:hint="eastAsia" w:ascii="宋体" w:hAnsi="宋体" w:eastAsia="宋体" w:cs="宋体"/>
                <w:bCs/>
                <w:szCs w:val="21"/>
              </w:rPr>
              <w:t>招 标 人：通许县农业农村局</w:t>
            </w:r>
          </w:p>
          <w:p>
            <w:pPr>
              <w:spacing w:line="500" w:lineRule="exact"/>
              <w:rPr>
                <w:rFonts w:ascii="宋体" w:hAnsi="宋体" w:eastAsia="宋体" w:cs="宋体"/>
                <w:bCs/>
                <w:szCs w:val="21"/>
              </w:rPr>
            </w:pPr>
            <w:r>
              <w:rPr>
                <w:rFonts w:hint="eastAsia" w:ascii="宋体" w:hAnsi="宋体" w:eastAsia="宋体" w:cs="宋体"/>
                <w:bCs/>
                <w:szCs w:val="21"/>
              </w:rPr>
              <w:t>地  址：通许县老县政府院内</w:t>
            </w:r>
          </w:p>
          <w:p>
            <w:pPr>
              <w:spacing w:line="500" w:lineRule="exact"/>
              <w:rPr>
                <w:rFonts w:ascii="宋体" w:hAnsi="宋体" w:eastAsia="宋体" w:cs="宋体"/>
                <w:bCs/>
                <w:szCs w:val="21"/>
              </w:rPr>
            </w:pPr>
            <w:r>
              <w:rPr>
                <w:rFonts w:hint="eastAsia" w:ascii="宋体" w:hAnsi="宋体" w:eastAsia="宋体" w:cs="宋体"/>
                <w:bCs/>
                <w:szCs w:val="21"/>
              </w:rPr>
              <w:t xml:space="preserve">联 系 人：张先生    </w:t>
            </w:r>
          </w:p>
          <w:p>
            <w:pPr>
              <w:spacing w:line="500" w:lineRule="exact"/>
              <w:rPr>
                <w:rFonts w:ascii="宋体" w:hAnsi="宋体" w:eastAsia="宋体" w:cs="宋体"/>
                <w:bCs/>
                <w:szCs w:val="21"/>
              </w:rPr>
            </w:pPr>
            <w:r>
              <w:rPr>
                <w:rFonts w:hint="eastAsia" w:ascii="宋体" w:hAnsi="宋体" w:eastAsia="宋体" w:cs="宋体"/>
                <w:bCs/>
                <w:szCs w:val="21"/>
              </w:rPr>
              <w:t>联系电话：18737816388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8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Calibri" w:hAnsi="Calibri" w:cs="Calibri"/>
                <w:sz w:val="20"/>
                <w:szCs w:val="20"/>
              </w:rPr>
            </w:pP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招标代理</w:t>
            </w:r>
          </w:p>
          <w:p>
            <w:pPr>
              <w:spacing w:line="520" w:lineRule="exact"/>
              <w:jc w:val="center"/>
              <w:rPr>
                <w:rFonts w:ascii="宋体" w:hAnsi="宋体" w:eastAsia="宋体" w:cs="宋体"/>
                <w:szCs w:val="21"/>
              </w:rPr>
            </w:pPr>
            <w:r>
              <w:rPr>
                <w:rFonts w:hint="eastAsia" w:ascii="宋体" w:hAnsi="宋体" w:eastAsia="宋体" w:cs="宋体"/>
                <w:szCs w:val="21"/>
              </w:rPr>
              <w:t>机构</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00" w:lineRule="exact"/>
              <w:rPr>
                <w:rFonts w:ascii="宋体" w:hAnsi="宋体" w:eastAsia="宋体" w:cs="宋体"/>
                <w:bCs/>
                <w:szCs w:val="21"/>
              </w:rPr>
            </w:pPr>
            <w:r>
              <w:rPr>
                <w:rFonts w:hint="eastAsia" w:ascii="宋体" w:hAnsi="宋体" w:eastAsia="宋体" w:cs="宋体"/>
                <w:bCs/>
                <w:szCs w:val="21"/>
              </w:rPr>
              <w:t>代理机构：河南正坤建设工程咨询有限公司</w:t>
            </w:r>
          </w:p>
          <w:p>
            <w:pPr>
              <w:spacing w:line="500" w:lineRule="exact"/>
              <w:rPr>
                <w:rFonts w:ascii="宋体" w:hAnsi="宋体" w:eastAsia="宋体" w:cs="宋体"/>
                <w:bCs/>
                <w:szCs w:val="21"/>
              </w:rPr>
            </w:pPr>
            <w:r>
              <w:rPr>
                <w:rFonts w:hint="eastAsia" w:ascii="宋体" w:hAnsi="宋体" w:eastAsia="宋体" w:cs="宋体"/>
                <w:bCs/>
                <w:szCs w:val="21"/>
              </w:rPr>
              <w:t>地址：</w:t>
            </w:r>
            <w:r>
              <w:rPr>
                <w:rFonts w:hint="eastAsia" w:ascii="宋体" w:hAnsi="宋体" w:eastAsia="宋体" w:cs="宋体"/>
                <w:bCs/>
                <w:color w:val="000000"/>
                <w:szCs w:val="21"/>
              </w:rPr>
              <w:t>焦作市解放区塔南路569号-4付03号</w:t>
            </w:r>
            <w:r>
              <w:rPr>
                <w:rFonts w:hint="eastAsia" w:ascii="宋体" w:hAnsi="宋体" w:eastAsia="宋体" w:cs="宋体"/>
                <w:bCs/>
                <w:szCs w:val="21"/>
              </w:rPr>
              <w:br w:type="textWrapping"/>
            </w:r>
            <w:r>
              <w:rPr>
                <w:rFonts w:hint="eastAsia" w:ascii="宋体" w:hAnsi="宋体" w:eastAsia="宋体" w:cs="宋体"/>
                <w:bCs/>
                <w:szCs w:val="21"/>
              </w:rPr>
              <w:t xml:space="preserve">联 系 人：马先生 </w:t>
            </w:r>
            <w:r>
              <w:rPr>
                <w:rFonts w:hint="eastAsia" w:ascii="宋体" w:hAnsi="宋体" w:eastAsia="宋体" w:cs="宋体"/>
                <w:bCs/>
                <w:szCs w:val="21"/>
              </w:rPr>
              <w:br w:type="textWrapping"/>
            </w:r>
            <w:r>
              <w:rPr>
                <w:rFonts w:hint="eastAsia" w:ascii="宋体" w:hAnsi="宋体" w:eastAsia="宋体" w:cs="宋体"/>
                <w:bCs/>
                <w:szCs w:val="21"/>
              </w:rPr>
              <w:t>联系电话：18738972222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4</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采购方式</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rPr>
                <w:rFonts w:ascii="宋体" w:hAnsi="宋体" w:eastAsia="宋体" w:cs="宋体"/>
                <w:bCs/>
                <w:szCs w:val="21"/>
              </w:rPr>
            </w:pPr>
            <w:r>
              <w:rPr>
                <w:rFonts w:hint="eastAsia" w:ascii="宋体" w:hAnsi="宋体" w:eastAsia="宋体" w:cs="宋体"/>
                <w:bCs/>
                <w:szCs w:val="21"/>
              </w:rPr>
              <w:t>竞争性谈判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5</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资金来源</w:t>
            </w:r>
          </w:p>
        </w:tc>
        <w:tc>
          <w:tcPr>
            <w:tcW w:w="7550" w:type="dxa"/>
            <w:tcBorders>
              <w:top w:val="single" w:color="auto" w:sz="4" w:space="0"/>
              <w:left w:val="single" w:color="auto" w:sz="4" w:space="0"/>
              <w:bottom w:val="single" w:color="auto" w:sz="4" w:space="0"/>
              <w:right w:val="single" w:color="auto" w:sz="4" w:space="0"/>
            </w:tcBorders>
            <w:shd w:val="clear" w:color="auto" w:fill="auto"/>
          </w:tcPr>
          <w:p>
            <w:pPr>
              <w:spacing w:line="520" w:lineRule="exact"/>
              <w:rPr>
                <w:rFonts w:ascii="宋体" w:hAnsi="宋体" w:eastAsia="宋体" w:cs="宋体"/>
                <w:bCs/>
                <w:szCs w:val="21"/>
              </w:rPr>
            </w:pPr>
            <w:r>
              <w:rPr>
                <w:rFonts w:hint="eastAsia" w:ascii="宋体" w:hAnsi="宋体" w:eastAsia="宋体" w:cs="宋体"/>
                <w:bCs/>
                <w:szCs w:val="21"/>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Calibri" w:hAnsi="Calibri" w:cs="Calibri"/>
                <w:sz w:val="20"/>
                <w:szCs w:val="20"/>
              </w:rPr>
            </w:pP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投资金额</w:t>
            </w:r>
          </w:p>
        </w:tc>
        <w:tc>
          <w:tcPr>
            <w:tcW w:w="7550" w:type="dxa"/>
            <w:tcBorders>
              <w:top w:val="single" w:color="auto" w:sz="4" w:space="0"/>
              <w:left w:val="single" w:color="auto" w:sz="4" w:space="0"/>
              <w:bottom w:val="single" w:color="auto" w:sz="4" w:space="0"/>
              <w:right w:val="single" w:color="auto" w:sz="4" w:space="0"/>
            </w:tcBorders>
            <w:shd w:val="clear" w:color="auto" w:fill="auto"/>
          </w:tcPr>
          <w:p>
            <w:pPr>
              <w:spacing w:line="520" w:lineRule="exact"/>
              <w:rPr>
                <w:rFonts w:ascii="宋体" w:hAnsi="宋体" w:eastAsia="宋体" w:cs="宋体"/>
                <w:bCs/>
                <w:szCs w:val="21"/>
              </w:rPr>
            </w:pPr>
            <w:r>
              <w:rPr>
                <w:rFonts w:hint="eastAsia" w:ascii="宋体" w:hAnsi="宋体" w:eastAsia="宋体" w:cs="宋体"/>
                <w:bCs/>
                <w:szCs w:val="21"/>
              </w:rPr>
              <w:t>35.5万元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6</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采购内容</w:t>
            </w:r>
          </w:p>
        </w:tc>
        <w:tc>
          <w:tcPr>
            <w:tcW w:w="7550" w:type="dxa"/>
            <w:tcBorders>
              <w:top w:val="single" w:color="auto" w:sz="4" w:space="0"/>
              <w:left w:val="single" w:color="auto" w:sz="4" w:space="0"/>
              <w:bottom w:val="single" w:color="auto" w:sz="4" w:space="0"/>
              <w:right w:val="single" w:color="auto" w:sz="4" w:space="0"/>
            </w:tcBorders>
            <w:shd w:val="clear" w:color="auto" w:fill="auto"/>
          </w:tcPr>
          <w:p>
            <w:pPr>
              <w:spacing w:line="520" w:lineRule="exact"/>
              <w:rPr>
                <w:rFonts w:ascii="宋体" w:hAnsi="宋体" w:eastAsia="宋体" w:cs="宋体"/>
                <w:bCs/>
                <w:szCs w:val="21"/>
              </w:rPr>
            </w:pPr>
            <w:r>
              <w:rPr>
                <w:rFonts w:hint="eastAsia" w:ascii="宋体" w:hAnsi="宋体" w:eastAsia="宋体" w:cs="宋体"/>
                <w:bCs/>
                <w:color w:val="000000"/>
                <w:szCs w:val="21"/>
              </w:rPr>
              <w:t>通许县农业农村局非洲猪瘟检测专用车采购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7</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highlight w:val="none"/>
              </w:rPr>
            </w:pPr>
            <w:r>
              <w:rPr>
                <w:rFonts w:hint="eastAsia" w:ascii="宋体" w:hAnsi="宋体" w:eastAsia="宋体" w:cs="宋体"/>
                <w:szCs w:val="21"/>
                <w:highlight w:val="none"/>
              </w:rPr>
              <w:t>交货期</w:t>
            </w:r>
          </w:p>
        </w:tc>
        <w:tc>
          <w:tcPr>
            <w:tcW w:w="7550" w:type="dxa"/>
            <w:tcBorders>
              <w:top w:val="single" w:color="auto" w:sz="4" w:space="0"/>
              <w:left w:val="single" w:color="auto" w:sz="4" w:space="0"/>
              <w:bottom w:val="single" w:color="auto" w:sz="4" w:space="0"/>
              <w:right w:val="single" w:color="auto" w:sz="4" w:space="0"/>
            </w:tcBorders>
            <w:shd w:val="clear" w:color="auto" w:fill="auto"/>
          </w:tcPr>
          <w:p>
            <w:pPr>
              <w:spacing w:line="520" w:lineRule="exact"/>
              <w:rPr>
                <w:rFonts w:ascii="宋体" w:hAnsi="宋体" w:eastAsia="宋体" w:cs="宋体"/>
                <w:szCs w:val="21"/>
                <w:highlight w:val="none"/>
              </w:rPr>
            </w:pPr>
            <w:r>
              <w:rPr>
                <w:rFonts w:hint="eastAsia" w:ascii="宋体" w:hAnsi="宋体" w:eastAsia="宋体" w:cs="宋体"/>
                <w:szCs w:val="21"/>
                <w:highlight w:val="none"/>
              </w:rPr>
              <w:t xml:space="preserve">合同签订后30日历天 </w:t>
            </w:r>
            <w:bookmarkStart w:id="152" w:name="_GoBack"/>
            <w:bookmarkEnd w:id="15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8</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质保期</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rFonts w:ascii="宋体" w:hAnsi="宋体" w:eastAsia="宋体" w:cs="宋体"/>
                <w:color w:val="000000"/>
                <w:szCs w:val="21"/>
              </w:rPr>
            </w:pPr>
            <w:r>
              <w:rPr>
                <w:rFonts w:hint="eastAsia" w:ascii="宋体" w:hAnsi="宋体" w:eastAsia="宋体" w:cs="宋体"/>
                <w:color w:val="000000"/>
                <w:szCs w:val="21"/>
              </w:rPr>
              <w:t>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9</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质量要求</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rFonts w:ascii="宋体" w:hAnsi="宋体" w:eastAsia="宋体" w:cs="宋体"/>
                <w:color w:val="000000"/>
                <w:szCs w:val="21"/>
              </w:rPr>
            </w:pPr>
            <w:r>
              <w:rPr>
                <w:rFonts w:hint="eastAsia" w:ascii="宋体" w:hAnsi="宋体" w:eastAsia="宋体" w:cs="宋体"/>
                <w:kern w:val="0"/>
                <w:szCs w:val="21"/>
              </w:rPr>
              <w:t>符合国家相关行业标准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10</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供应商</w:t>
            </w:r>
          </w:p>
          <w:p>
            <w:pPr>
              <w:spacing w:line="520" w:lineRule="exact"/>
              <w:jc w:val="center"/>
              <w:rPr>
                <w:rFonts w:ascii="宋体" w:hAnsi="宋体" w:eastAsia="宋体" w:cs="宋体"/>
                <w:szCs w:val="21"/>
              </w:rPr>
            </w:pPr>
            <w:r>
              <w:rPr>
                <w:rFonts w:hint="eastAsia" w:ascii="宋体" w:hAnsi="宋体" w:eastAsia="宋体" w:cs="宋体"/>
                <w:szCs w:val="21"/>
              </w:rPr>
              <w:t>资格要求</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color w:val="000000"/>
                <w:szCs w:val="21"/>
              </w:rPr>
            </w:pPr>
            <w:r>
              <w:rPr>
                <w:rFonts w:hint="eastAsia" w:ascii="宋体" w:hAnsi="宋体" w:eastAsia="宋体" w:cs="宋体"/>
                <w:color w:val="000000"/>
                <w:szCs w:val="21"/>
              </w:rPr>
              <w:t>1、谈判人须符合《中华人民共和国政府采购法》第二十二条规定:</w:t>
            </w:r>
          </w:p>
          <w:p>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kern w:val="0"/>
                <w:szCs w:val="21"/>
              </w:rPr>
              <w:t>①</w:t>
            </w:r>
            <w:r>
              <w:rPr>
                <w:rFonts w:hint="eastAsia" w:ascii="宋体" w:hAnsi="宋体" w:eastAsia="宋体" w:cs="宋体"/>
                <w:color w:val="000000"/>
                <w:szCs w:val="21"/>
              </w:rPr>
              <w:t>有独立承担民事责任的能力；</w:t>
            </w:r>
            <w:r>
              <w:rPr>
                <w:rFonts w:hint="eastAsia" w:ascii="宋体" w:hAnsi="宋体" w:eastAsia="宋体" w:cs="宋体"/>
                <w:szCs w:val="21"/>
              </w:rPr>
              <w:t>备有效营业执照、税务登记证、组织机构代码证（或三证合一的营业执照）；</w:t>
            </w:r>
          </w:p>
          <w:p>
            <w:pPr>
              <w:spacing w:line="360" w:lineRule="auto"/>
              <w:ind w:firstLine="315" w:firstLineChars="150"/>
              <w:rPr>
                <w:rFonts w:ascii="宋体" w:hAnsi="宋体" w:eastAsia="宋体" w:cs="宋体"/>
                <w:color w:val="000000"/>
                <w:szCs w:val="21"/>
              </w:rPr>
            </w:pPr>
            <w:r>
              <w:rPr>
                <w:rFonts w:hint="eastAsia" w:ascii="宋体" w:hAnsi="宋体" w:eastAsia="宋体" w:cs="宋体"/>
                <w:color w:val="000000"/>
                <w:szCs w:val="21"/>
              </w:rPr>
              <w:t>具有良好的商业信誉和健全的财务会计制度；（提供企业2018年度经审计的财务报告或2019年度的财务报表，新成立的公司，提供自成立以来的）；</w:t>
            </w:r>
          </w:p>
          <w:p>
            <w:pPr>
              <w:spacing w:line="360" w:lineRule="auto"/>
              <w:ind w:firstLine="315" w:firstLineChars="150"/>
              <w:rPr>
                <w:rFonts w:ascii="宋体" w:hAnsi="宋体" w:eastAsia="宋体" w:cs="宋体"/>
                <w:color w:val="000000"/>
                <w:szCs w:val="21"/>
              </w:rPr>
            </w:pPr>
            <w:r>
              <w:rPr>
                <w:rFonts w:hint="eastAsia" w:ascii="宋体" w:hAnsi="宋体" w:eastAsia="宋体" w:cs="宋体"/>
                <w:color w:val="000000"/>
                <w:szCs w:val="21"/>
              </w:rPr>
              <w:t>③具有履行合同所必需的设备和专业技术能力；（格式自拟，自行承诺）；</w:t>
            </w:r>
          </w:p>
          <w:p>
            <w:pPr>
              <w:spacing w:line="360" w:lineRule="auto"/>
              <w:ind w:firstLine="315" w:firstLineChars="150"/>
              <w:rPr>
                <w:rFonts w:ascii="宋体" w:hAnsi="宋体" w:eastAsia="宋体" w:cs="宋体"/>
                <w:color w:val="000000"/>
                <w:szCs w:val="21"/>
              </w:rPr>
            </w:pPr>
            <w:r>
              <w:rPr>
                <w:rFonts w:hint="eastAsia" w:ascii="宋体" w:hAnsi="宋体" w:eastAsia="宋体" w:cs="宋体"/>
                <w:color w:val="000000"/>
                <w:szCs w:val="21"/>
              </w:rPr>
              <w:t>④有依法缴纳税收和社会保障资金的良好记录（提供近半年任意3个月缴纳税收和社会保障资金的相关材料）；</w:t>
            </w:r>
          </w:p>
          <w:p>
            <w:pPr>
              <w:spacing w:line="360" w:lineRule="auto"/>
              <w:ind w:firstLine="210" w:firstLineChars="100"/>
              <w:rPr>
                <w:rFonts w:ascii="宋体" w:hAnsi="宋体" w:eastAsia="宋体" w:cs="宋体"/>
                <w:color w:val="000000"/>
                <w:szCs w:val="21"/>
              </w:rPr>
            </w:pPr>
            <w:r>
              <w:rPr>
                <w:rFonts w:hint="eastAsia" w:ascii="宋体" w:hAnsi="宋体" w:eastAsia="宋体" w:cs="宋体"/>
                <w:color w:val="000000"/>
                <w:szCs w:val="21"/>
              </w:rPr>
              <w:t>⑤参加政府采购活动前三年内，在经营活动中没有重大违法记录；（格式自拟，自行承诺）</w:t>
            </w:r>
          </w:p>
          <w:p>
            <w:pPr>
              <w:spacing w:line="360" w:lineRule="auto"/>
              <w:rPr>
                <w:rFonts w:ascii="宋体" w:hAnsi="宋体" w:eastAsia="宋体" w:cs="宋体"/>
                <w:color w:val="000000"/>
                <w:szCs w:val="21"/>
              </w:rPr>
            </w:pPr>
            <w:r>
              <w:rPr>
                <w:rFonts w:hint="eastAsia" w:ascii="宋体" w:hAnsi="宋体" w:eastAsia="宋体" w:cs="宋体"/>
                <w:color w:val="000000"/>
                <w:szCs w:val="21"/>
              </w:rPr>
              <w:t>2、根据财政部《关于在政府采购活动中查询及使用信用记录有关问题的通知》财库【2016】125号文件，评审委员会应当在评审时对供应商信用记录查询并在资格和符合性审查中注明是否通过，对列入失信被执行人、重大税收违法案件当事人名单、政府采购严重违法失信行为记录名单及其他不附合《政府采购法》第二十二条规定条件的供应商，将拒绝其参与政府采购活动；【信用信息查询渠道：“信用中国”网站（www.creditchina.gov.cn）和中国政府采购网（www.ccgp.gov.cn）】。</w:t>
            </w:r>
          </w:p>
          <w:p>
            <w:pPr>
              <w:spacing w:line="360" w:lineRule="auto"/>
              <w:rPr>
                <w:rFonts w:ascii="宋体" w:hAnsi="宋体" w:eastAsia="宋体" w:cs="宋体"/>
                <w:color w:val="000000"/>
                <w:szCs w:val="21"/>
              </w:rPr>
            </w:pPr>
            <w:r>
              <w:rPr>
                <w:rFonts w:hint="eastAsia" w:ascii="宋体" w:hAnsi="宋体" w:eastAsia="宋体" w:cs="宋体"/>
                <w:color w:val="000000"/>
                <w:szCs w:val="21"/>
              </w:rPr>
              <w:t>3、不接受联合体报名；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exac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11</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谈判有效期</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rPr>
                <w:rFonts w:ascii="宋体" w:hAnsi="宋体" w:eastAsia="宋体" w:cs="宋体"/>
                <w:szCs w:val="21"/>
                <w:highlight w:val="red"/>
              </w:rPr>
            </w:pPr>
            <w:r>
              <w:rPr>
                <w:rFonts w:hint="eastAsia" w:ascii="宋体" w:hAnsi="宋体" w:eastAsia="宋体" w:cs="宋体"/>
                <w:szCs w:val="21"/>
              </w:rPr>
              <w:t>谈判截止之日起60日历天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exac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13</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投标答疑</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rPr>
                <w:rFonts w:ascii="宋体" w:hAnsi="宋体" w:eastAsia="宋体" w:cs="宋体"/>
                <w:szCs w:val="21"/>
              </w:rPr>
            </w:pPr>
            <w:r>
              <w:rPr>
                <w:rFonts w:hint="eastAsia" w:ascii="宋体" w:hAnsi="宋体" w:eastAsia="宋体" w:cs="宋体"/>
                <w:szCs w:val="21"/>
              </w:rPr>
              <w:t>供应商应在开标前3日将需解答的内容以书面形式（加盖单位公章）递交给采购人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14</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签字或盖章要求</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rPr>
                <w:rFonts w:ascii="宋体" w:hAnsi="宋体" w:eastAsia="宋体" w:cs="宋体"/>
                <w:szCs w:val="21"/>
              </w:rPr>
            </w:pPr>
            <w:r>
              <w:rPr>
                <w:rFonts w:hint="eastAsia" w:ascii="宋体" w:hAnsi="宋体" w:eastAsia="宋体" w:cs="宋体"/>
                <w:color w:val="000000"/>
                <w:szCs w:val="21"/>
              </w:rPr>
              <w:t>谈判响应文件并按谈判文件要求由谈判标人的法定代表人或委托代理人签字并盖单位章</w:t>
            </w:r>
            <w:r>
              <w:rPr>
                <w:rFonts w:hint="eastAsia" w:ascii="宋体" w:hAnsi="宋体" w:eastAsia="宋体" w:cs="宋体"/>
                <w:szCs w:val="21"/>
              </w:rPr>
              <w:t>，未按投标文件格式要求签章的，其投标文件将被否决</w:t>
            </w:r>
            <w:r>
              <w:rPr>
                <w:rFonts w:hint="eastAsia" w:ascii="宋体" w:hAnsi="宋体" w:eastAsia="宋体" w:cs="宋体"/>
                <w:color w:val="000000"/>
                <w:szCs w:val="21"/>
              </w:rPr>
              <w:t>。委托代理人签字的，投标文件应附法定代表人签署的授权委托书</w:t>
            </w:r>
            <w:r>
              <w:rPr>
                <w:rFonts w:hint="eastAsia" w:ascii="宋体" w:hAnsi="宋体" w:eastAsia="宋体" w:cs="宋体"/>
                <w:szCs w:val="21"/>
              </w:rPr>
              <w:t>（授权期限不得少于投标有效期）。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 xml:space="preserve">15 </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投标的截止</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rFonts w:ascii="宋体" w:hAnsi="宋体" w:eastAsia="宋体" w:cs="宋体"/>
                <w:bCs/>
                <w:kern w:val="0"/>
                <w:szCs w:val="21"/>
                <w:shd w:val="clear" w:color="auto" w:fill="FFFFFF"/>
              </w:rPr>
            </w:pPr>
            <w:r>
              <w:rPr>
                <w:rFonts w:hint="eastAsia" w:ascii="宋体" w:hAnsi="宋体" w:eastAsia="宋体" w:cs="宋体"/>
                <w:bCs/>
                <w:kern w:val="0"/>
                <w:szCs w:val="21"/>
                <w:shd w:val="clear" w:color="auto" w:fill="FFFFFF"/>
              </w:rPr>
              <w:t>（1）电子投标文件的递交</w:t>
            </w:r>
          </w:p>
          <w:p>
            <w:pPr>
              <w:spacing w:line="400" w:lineRule="exact"/>
              <w:rPr>
                <w:rFonts w:ascii="宋体" w:hAnsi="宋体" w:eastAsia="宋体" w:cs="宋体"/>
                <w:bCs/>
                <w:kern w:val="0"/>
                <w:szCs w:val="21"/>
                <w:shd w:val="clear" w:color="auto" w:fill="FFFFFF"/>
              </w:rPr>
            </w:pPr>
            <w:r>
              <w:rPr>
                <w:rFonts w:hint="eastAsia" w:ascii="宋体" w:hAnsi="宋体" w:eastAsia="宋体" w:cs="宋体"/>
                <w:bCs/>
                <w:kern w:val="0"/>
                <w:szCs w:val="21"/>
                <w:shd w:val="clear" w:color="auto" w:fill="FFFFFF"/>
              </w:rPr>
              <w:t>a、各谈判人应在投标截止时间前上传加密的电子投标文件到会员系统的指定位置。请谈判人在上传时认真检查上传投标文件是否完整、正确。</w:t>
            </w:r>
          </w:p>
          <w:p>
            <w:pPr>
              <w:spacing w:line="400" w:lineRule="exact"/>
              <w:rPr>
                <w:rFonts w:ascii="宋体" w:hAnsi="宋体" w:eastAsia="宋体" w:cs="宋体"/>
                <w:bCs/>
                <w:kern w:val="0"/>
                <w:szCs w:val="21"/>
                <w:shd w:val="clear" w:color="auto" w:fill="FFFFFF"/>
              </w:rPr>
            </w:pPr>
            <w:r>
              <w:rPr>
                <w:rFonts w:hint="eastAsia" w:ascii="宋体" w:hAnsi="宋体" w:eastAsia="宋体" w:cs="宋体"/>
                <w:bCs/>
                <w:kern w:val="0"/>
                <w:szCs w:val="21"/>
                <w:shd w:val="clear" w:color="auto" w:fill="FFFFFF"/>
              </w:rPr>
              <w:t>b、谈判人无法上传电子投标文件时，请在工作时间及时与开封市公共资源交易中心联系，联系电话：</w:t>
            </w:r>
            <w:r>
              <w:rPr>
                <w:rFonts w:hint="eastAsia" w:ascii="宋体" w:hAnsi="宋体" w:eastAsia="宋体" w:cs="宋体"/>
                <w:bCs/>
                <w:kern w:val="0"/>
                <w:szCs w:val="21"/>
                <w:shd w:val="clear" w:color="auto" w:fill="FFFFFF"/>
                <w:lang w:val="en-US" w:eastAsia="zh-CN"/>
              </w:rPr>
              <w:t>0371-</w:t>
            </w:r>
            <w:r>
              <w:rPr>
                <w:rFonts w:hint="eastAsia" w:ascii="宋体" w:hAnsi="宋体" w:eastAsia="宋体" w:cs="宋体"/>
                <w:bCs/>
                <w:kern w:val="0"/>
                <w:szCs w:val="21"/>
                <w:shd w:val="clear" w:color="auto" w:fill="FFFFFF"/>
              </w:rPr>
              <w:t xml:space="preserve"> 23859291。如不能按期上传，招标人不予受理。</w:t>
            </w:r>
          </w:p>
          <w:p>
            <w:pPr>
              <w:spacing w:line="520" w:lineRule="exact"/>
              <w:jc w:val="left"/>
              <w:rPr>
                <w:rFonts w:ascii="宋体" w:hAnsi="宋体" w:eastAsia="宋体" w:cs="宋体"/>
                <w:szCs w:val="21"/>
                <w:highlight w:val="yellow"/>
              </w:rPr>
            </w:pPr>
            <w:r>
              <w:rPr>
                <w:rFonts w:hint="eastAsia" w:ascii="宋体" w:hAnsi="宋体" w:eastAsia="宋体" w:cs="宋体"/>
                <w:bCs/>
                <w:kern w:val="1"/>
                <w:szCs w:val="21"/>
              </w:rPr>
              <w:t>地点：</w:t>
            </w:r>
            <w:r>
              <w:rPr>
                <w:rFonts w:hint="eastAsia" w:ascii="宋体" w:hAnsi="宋体" w:eastAsia="宋体" w:cs="宋体"/>
                <w:kern w:val="1"/>
                <w:szCs w:val="21"/>
              </w:rPr>
              <w:t>通许县政务服务中心4楼第二开标室（通许县裕丰路西段南侧）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16</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eastAsia="宋体" w:cs="宋体"/>
                <w:color w:val="000000"/>
                <w:szCs w:val="21"/>
              </w:rPr>
            </w:pPr>
            <w:r>
              <w:rPr>
                <w:rFonts w:hint="eastAsia" w:ascii="宋体" w:hAnsi="宋体" w:eastAsia="宋体" w:cs="宋体"/>
                <w:color w:val="000000"/>
                <w:szCs w:val="21"/>
              </w:rPr>
              <w:t>是否退还投标文件</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eastAsia="宋体" w:cs="宋体"/>
                <w:color w:val="000000"/>
                <w:szCs w:val="21"/>
              </w:rPr>
            </w:pPr>
            <w:r>
              <w:rPr>
                <w:rFonts w:hint="eastAsia" w:ascii="宋体" w:hAnsi="宋体" w:eastAsia="宋体" w:cs="宋体"/>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17</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开标时间及地点</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rPr>
                <w:rFonts w:ascii="宋体" w:hAnsi="宋体" w:eastAsia="宋体" w:cs="宋体"/>
                <w:szCs w:val="21"/>
              </w:rPr>
            </w:pPr>
            <w:r>
              <w:rPr>
                <w:rFonts w:hint="eastAsia" w:ascii="宋体" w:hAnsi="宋体" w:eastAsia="宋体" w:cs="宋体"/>
                <w:szCs w:val="21"/>
              </w:rPr>
              <w:t>时间： 2020年 7月3日上午10时00分</w:t>
            </w:r>
          </w:p>
          <w:p>
            <w:pPr>
              <w:spacing w:line="520" w:lineRule="exact"/>
              <w:rPr>
                <w:rFonts w:ascii="宋体" w:hAnsi="宋体" w:eastAsia="宋体" w:cs="宋体"/>
                <w:szCs w:val="21"/>
              </w:rPr>
            </w:pPr>
            <w:r>
              <w:rPr>
                <w:rFonts w:hint="eastAsia" w:ascii="宋体" w:hAnsi="宋体" w:eastAsia="宋体" w:cs="宋体"/>
                <w:szCs w:val="21"/>
              </w:rPr>
              <w:t>地点：通许县政务服务中心4楼第二开标室（通许县裕丰路西段南侧）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1"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color w:val="000000"/>
                <w:szCs w:val="21"/>
              </w:rPr>
              <w:t>18</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开标程序</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76" w:lineRule="auto"/>
              <w:rPr>
                <w:rFonts w:ascii="宋体" w:hAnsi="宋体" w:eastAsia="宋体" w:cs="宋体"/>
                <w:kern w:val="1"/>
                <w:szCs w:val="21"/>
              </w:rPr>
            </w:pPr>
            <w:r>
              <w:rPr>
                <w:rFonts w:hint="eastAsia" w:ascii="宋体" w:hAnsi="宋体" w:eastAsia="宋体" w:cs="宋体"/>
                <w:kern w:val="1"/>
                <w:szCs w:val="21"/>
              </w:rPr>
              <w:t>1.招标人在规定的投标文件递交截止时间（开标时间）和谈判人须知前附表规定的地点进行开标。谈判人的法定代表人或其委托代理人准时参加开标会议。</w:t>
            </w:r>
          </w:p>
          <w:p>
            <w:pPr>
              <w:spacing w:line="276" w:lineRule="auto"/>
              <w:rPr>
                <w:rFonts w:ascii="宋体" w:hAnsi="宋体" w:eastAsia="宋体" w:cs="宋体"/>
                <w:kern w:val="1"/>
                <w:szCs w:val="21"/>
              </w:rPr>
            </w:pPr>
            <w:r>
              <w:rPr>
                <w:rFonts w:hint="eastAsia" w:ascii="宋体" w:hAnsi="宋体" w:eastAsia="宋体" w:cs="宋体"/>
                <w:kern w:val="1"/>
                <w:szCs w:val="21"/>
              </w:rPr>
              <w:t>2.谈判人须在规定的时间内完成解密，若出现非系统原因无法解密的，不再参与开评标。</w:t>
            </w:r>
          </w:p>
          <w:p>
            <w:pPr>
              <w:spacing w:line="276" w:lineRule="auto"/>
              <w:rPr>
                <w:rFonts w:ascii="宋体" w:hAnsi="宋体" w:eastAsia="宋体" w:cs="宋体"/>
                <w:kern w:val="1"/>
                <w:szCs w:val="21"/>
              </w:rPr>
            </w:pPr>
            <w:r>
              <w:rPr>
                <w:rFonts w:hint="eastAsia" w:ascii="宋体" w:hAnsi="宋体" w:eastAsia="宋体" w:cs="宋体"/>
                <w:kern w:val="1"/>
                <w:szCs w:val="21"/>
              </w:rPr>
              <w:t>3.开标程序</w:t>
            </w:r>
          </w:p>
          <w:p>
            <w:pPr>
              <w:spacing w:line="276" w:lineRule="auto"/>
              <w:rPr>
                <w:rFonts w:ascii="宋体" w:hAnsi="宋体" w:eastAsia="宋体" w:cs="宋体"/>
                <w:kern w:val="1"/>
                <w:szCs w:val="21"/>
              </w:rPr>
            </w:pPr>
            <w:r>
              <w:rPr>
                <w:rFonts w:hint="eastAsia" w:ascii="宋体" w:hAnsi="宋体" w:eastAsia="宋体" w:cs="宋体"/>
                <w:kern w:val="1"/>
                <w:szCs w:val="21"/>
              </w:rPr>
              <w:t>（1）本项目采用电子开标。到投标文件递交截止时间止，各谈判人按电子投标文件递交的顺序对电子投标文件进行解密。解密完成后各谈判人的电子投标文件的实质性内容将自动显示在网页中。谈判人在投标文件递交截止时间前未上传电子投标文件的将视为放弃开标。</w:t>
            </w:r>
          </w:p>
          <w:p>
            <w:pPr>
              <w:spacing w:line="276" w:lineRule="auto"/>
              <w:rPr>
                <w:rFonts w:ascii="宋体" w:hAnsi="宋体" w:eastAsia="宋体" w:cs="宋体"/>
                <w:kern w:val="1"/>
                <w:szCs w:val="21"/>
              </w:rPr>
            </w:pPr>
            <w:r>
              <w:rPr>
                <w:rFonts w:hint="eastAsia" w:ascii="宋体" w:hAnsi="宋体" w:eastAsia="宋体" w:cs="宋体"/>
                <w:kern w:val="1"/>
                <w:szCs w:val="21"/>
              </w:rPr>
              <w:t>（2）主持人按下列程序进行开标会议：</w:t>
            </w:r>
          </w:p>
          <w:p>
            <w:pPr>
              <w:spacing w:line="276" w:lineRule="auto"/>
              <w:rPr>
                <w:rFonts w:ascii="宋体" w:hAnsi="宋体" w:eastAsia="宋体" w:cs="宋体"/>
                <w:kern w:val="1"/>
                <w:szCs w:val="21"/>
              </w:rPr>
            </w:pPr>
            <w:r>
              <w:rPr>
                <w:rFonts w:hint="eastAsia" w:ascii="宋体" w:hAnsi="宋体" w:eastAsia="宋体" w:cs="宋体"/>
                <w:kern w:val="1"/>
                <w:szCs w:val="21"/>
              </w:rPr>
              <w:t>1.宣布投标文件递交截止时间已到，不再接收投标文件；</w:t>
            </w:r>
          </w:p>
          <w:p>
            <w:pPr>
              <w:spacing w:line="276" w:lineRule="auto"/>
              <w:rPr>
                <w:rFonts w:ascii="宋体" w:hAnsi="宋体" w:eastAsia="宋体" w:cs="宋体"/>
                <w:kern w:val="1"/>
                <w:szCs w:val="21"/>
              </w:rPr>
            </w:pPr>
            <w:r>
              <w:rPr>
                <w:rFonts w:hint="eastAsia" w:ascii="宋体" w:hAnsi="宋体" w:eastAsia="宋体" w:cs="宋体"/>
                <w:kern w:val="1"/>
                <w:szCs w:val="21"/>
              </w:rPr>
              <w:t>2.宣布开标人、监标人等有关信息及开标会议纪律；</w:t>
            </w:r>
          </w:p>
          <w:p>
            <w:pPr>
              <w:spacing w:line="276" w:lineRule="auto"/>
              <w:rPr>
                <w:rFonts w:ascii="宋体" w:hAnsi="宋体" w:eastAsia="宋体" w:cs="宋体"/>
                <w:kern w:val="1"/>
                <w:szCs w:val="21"/>
              </w:rPr>
            </w:pPr>
            <w:r>
              <w:rPr>
                <w:rFonts w:hint="eastAsia" w:ascii="宋体" w:hAnsi="宋体" w:eastAsia="宋体" w:cs="宋体"/>
                <w:kern w:val="1"/>
                <w:szCs w:val="21"/>
              </w:rPr>
              <w:t>3.电子投标文件解密；</w:t>
            </w:r>
          </w:p>
          <w:p>
            <w:pPr>
              <w:spacing w:line="276" w:lineRule="auto"/>
              <w:rPr>
                <w:rFonts w:ascii="宋体" w:hAnsi="宋体" w:eastAsia="宋体" w:cs="宋体"/>
                <w:kern w:val="1"/>
                <w:szCs w:val="21"/>
              </w:rPr>
            </w:pPr>
            <w:r>
              <w:rPr>
                <w:rFonts w:hint="eastAsia" w:ascii="宋体" w:hAnsi="宋体" w:eastAsia="宋体" w:cs="宋体"/>
                <w:kern w:val="1"/>
                <w:szCs w:val="21"/>
              </w:rPr>
              <w:t>4.电子唱标；</w:t>
            </w:r>
          </w:p>
          <w:p>
            <w:pPr>
              <w:spacing w:line="276" w:lineRule="auto"/>
              <w:rPr>
                <w:rFonts w:ascii="宋体" w:hAnsi="宋体" w:eastAsia="宋体" w:cs="宋体"/>
                <w:kern w:val="1"/>
                <w:szCs w:val="21"/>
              </w:rPr>
            </w:pPr>
            <w:r>
              <w:rPr>
                <w:rFonts w:hint="eastAsia" w:ascii="宋体" w:hAnsi="宋体" w:eastAsia="宋体" w:cs="宋体"/>
                <w:kern w:val="1"/>
                <w:szCs w:val="21"/>
              </w:rPr>
              <w:t>5.谈判人代表、招标人代表、监标人等有关人员在开标记录上签字确认；</w:t>
            </w:r>
          </w:p>
          <w:p>
            <w:pPr>
              <w:autoSpaceDE w:val="0"/>
              <w:autoSpaceDN w:val="0"/>
              <w:adjustRightInd w:val="0"/>
              <w:spacing w:line="520" w:lineRule="exact"/>
              <w:rPr>
                <w:rFonts w:ascii="宋体" w:hAnsi="宋体" w:eastAsia="宋体" w:cs="宋体"/>
                <w:spacing w:val="-4"/>
                <w:kern w:val="0"/>
                <w:szCs w:val="21"/>
              </w:rPr>
            </w:pPr>
            <w:r>
              <w:rPr>
                <w:rFonts w:hint="eastAsia" w:ascii="宋体" w:hAnsi="宋体" w:eastAsia="宋体" w:cs="宋体"/>
                <w:kern w:val="1"/>
                <w:szCs w:val="21"/>
              </w:rPr>
              <w:t>6.开标会议结束。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color w:val="000000"/>
                <w:szCs w:val="21"/>
              </w:rPr>
            </w:pPr>
            <w:r>
              <w:rPr>
                <w:rFonts w:hint="eastAsia" w:ascii="宋体" w:hAnsi="宋体" w:eastAsia="宋体" w:cs="宋体"/>
                <w:szCs w:val="21"/>
              </w:rPr>
              <w:t>19</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评标委员会的组建</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rPr>
                <w:rFonts w:ascii="宋体" w:hAnsi="宋体" w:eastAsia="宋体" w:cs="宋体"/>
                <w:color w:val="000000"/>
                <w:spacing w:val="-6"/>
                <w:szCs w:val="21"/>
              </w:rPr>
            </w:pPr>
            <w:r>
              <w:rPr>
                <w:rFonts w:hint="eastAsia" w:ascii="宋体" w:hAnsi="宋体" w:eastAsia="宋体" w:cs="宋体"/>
                <w:color w:val="000000"/>
                <w:spacing w:val="-6"/>
                <w:szCs w:val="21"/>
              </w:rPr>
              <w:t>评标委员会构成：由采购人代表1人及经济、技术专家2人，共计3人组成；</w:t>
            </w:r>
          </w:p>
          <w:p>
            <w:pPr>
              <w:spacing w:line="520" w:lineRule="exact"/>
              <w:rPr>
                <w:rFonts w:ascii="宋体" w:hAnsi="宋体" w:eastAsia="宋体" w:cs="宋体"/>
                <w:color w:val="000000"/>
                <w:spacing w:val="-6"/>
                <w:szCs w:val="21"/>
              </w:rPr>
            </w:pPr>
            <w:r>
              <w:rPr>
                <w:rFonts w:hint="eastAsia" w:ascii="宋体" w:hAnsi="宋体" w:eastAsia="宋体" w:cs="宋体"/>
                <w:color w:val="000000"/>
                <w:spacing w:val="-6"/>
                <w:szCs w:val="21"/>
              </w:rPr>
              <w:t>评标专家确定方式：投标截止时间当天，从省级相关评标专家库中随机抽取。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20</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pacing w:val="-8"/>
                <w:szCs w:val="21"/>
              </w:rPr>
            </w:pPr>
            <w:r>
              <w:rPr>
                <w:rFonts w:hint="eastAsia" w:ascii="宋体" w:hAnsi="宋体" w:eastAsia="宋体" w:cs="宋体"/>
                <w:spacing w:val="-8"/>
                <w:szCs w:val="21"/>
              </w:rPr>
              <w:t>是否授权评标委员会确定中标人</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520" w:lineRule="exact"/>
              <w:rPr>
                <w:rFonts w:ascii="宋体" w:hAnsi="宋体" w:eastAsia="宋体" w:cs="宋体"/>
                <w:kern w:val="0"/>
                <w:szCs w:val="21"/>
              </w:rPr>
            </w:pPr>
            <w:r>
              <w:rPr>
                <w:rFonts w:hint="eastAsia" w:ascii="宋体" w:hAnsi="宋体" w:eastAsia="宋体" w:cs="宋体"/>
                <w:kern w:val="0"/>
                <w:szCs w:val="21"/>
              </w:rPr>
              <w:t>否，推荐的中标候选人人数：3名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21</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评标办法</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rPr>
                <w:rFonts w:ascii="宋体" w:hAnsi="宋体" w:eastAsia="宋体" w:cs="宋体"/>
                <w:szCs w:val="21"/>
              </w:rPr>
            </w:pPr>
            <w:r>
              <w:rPr>
                <w:rFonts w:hint="eastAsia" w:ascii="宋体" w:hAnsi="宋体" w:eastAsia="宋体" w:cs="宋体"/>
                <w:szCs w:val="21"/>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22</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监  督</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left"/>
              <w:rPr>
                <w:rFonts w:ascii="宋体" w:hAnsi="宋体" w:eastAsia="宋体" w:cs="宋体"/>
                <w:szCs w:val="21"/>
              </w:rPr>
            </w:pPr>
            <w:r>
              <w:rPr>
                <w:rFonts w:hint="eastAsia" w:ascii="宋体" w:hAnsi="宋体" w:eastAsia="宋体" w:cs="宋体"/>
                <w:szCs w:val="21"/>
              </w:rPr>
              <w:t>本项目的招标投标活动及其相关当事人应当接受有管辖权的行政监督部门依法实施的监督。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23</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需要补充的其他内容</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left"/>
              <w:rPr>
                <w:rFonts w:ascii="宋体" w:hAnsi="宋体" w:eastAsia="宋体" w:cs="宋体"/>
                <w:bCs/>
                <w:szCs w:val="21"/>
              </w:rPr>
            </w:pPr>
            <w:r>
              <w:rPr>
                <w:rFonts w:hint="eastAsia" w:ascii="宋体" w:hAnsi="宋体" w:eastAsia="宋体" w:cs="宋体"/>
                <w:color w:val="000000"/>
                <w:szCs w:val="21"/>
              </w:rPr>
              <w:t>本项目设招标控制价：</w:t>
            </w:r>
          </w:p>
          <w:p>
            <w:pPr>
              <w:jc w:val="left"/>
              <w:rPr>
                <w:rFonts w:hint="eastAsia" w:ascii="宋体" w:hAnsi="宋体" w:eastAsia="宋体" w:cs="宋体"/>
                <w:bCs/>
                <w:szCs w:val="21"/>
                <w:lang w:eastAsia="zh-CN"/>
              </w:rPr>
            </w:pPr>
            <w:r>
              <w:rPr>
                <w:rFonts w:hint="eastAsia" w:ascii="宋体" w:hAnsi="宋体" w:eastAsia="宋体" w:cs="宋体"/>
                <w:bCs/>
                <w:szCs w:val="21"/>
              </w:rPr>
              <w:t>大写：叁拾伍万伍仟元</w:t>
            </w:r>
            <w:r>
              <w:rPr>
                <w:rFonts w:hint="eastAsia" w:ascii="宋体" w:hAnsi="宋体" w:eastAsia="宋体" w:cs="宋体"/>
                <w:bCs/>
                <w:szCs w:val="21"/>
                <w:lang w:eastAsia="zh-CN"/>
              </w:rPr>
              <w:t>整</w:t>
            </w:r>
            <w:r>
              <w:rPr>
                <w:rFonts w:hint="eastAsia" w:ascii="宋体" w:hAnsi="宋体" w:eastAsia="宋体"/>
                <w:szCs w:val="21"/>
                <w:lang w:val="en-US" w:eastAsia="zh-CN"/>
              </w:rPr>
              <w:t xml:space="preserve"> </w:t>
            </w:r>
          </w:p>
          <w:p>
            <w:pPr>
              <w:jc w:val="left"/>
              <w:rPr>
                <w:rFonts w:ascii="宋体" w:hAnsi="宋体" w:eastAsia="宋体" w:cs="宋体"/>
                <w:bCs/>
                <w:szCs w:val="21"/>
              </w:rPr>
            </w:pPr>
            <w:r>
              <w:rPr>
                <w:rFonts w:hint="eastAsia" w:ascii="宋体" w:hAnsi="宋体" w:eastAsia="宋体" w:cs="宋体"/>
                <w:bCs/>
                <w:szCs w:val="21"/>
              </w:rPr>
              <w:t>小写355000.00元</w:t>
            </w:r>
          </w:p>
          <w:p>
            <w:pPr>
              <w:jc w:val="left"/>
              <w:rPr>
                <w:rFonts w:ascii="宋体" w:hAnsi="宋体" w:eastAsia="宋体" w:cs="宋体"/>
                <w:color w:val="000000"/>
                <w:szCs w:val="21"/>
              </w:rPr>
            </w:pPr>
            <w:r>
              <w:rPr>
                <w:rFonts w:hint="eastAsia" w:ascii="宋体" w:hAnsi="宋体" w:eastAsia="宋体" w:cs="宋体"/>
                <w:szCs w:val="21"/>
              </w:rPr>
              <w:t>供应商投标报价高于招标控制价的视为无效报价</w:t>
            </w:r>
            <w:r>
              <w:rPr>
                <w:rFonts w:hint="eastAsia" w:ascii="宋体" w:hAnsi="宋体" w:eastAsia="宋体" w:cs="宋体"/>
                <w:color w:val="000000"/>
                <w:szCs w:val="21"/>
              </w:rPr>
              <w:t>，其投标按废标处理。</w:t>
            </w:r>
          </w:p>
          <w:p>
            <w:pPr>
              <w:spacing w:line="520" w:lineRule="exact"/>
              <w:jc w:val="left"/>
              <w:rPr>
                <w:rFonts w:ascii="宋体" w:hAnsi="宋体" w:eastAsia="宋体" w:cs="宋体"/>
                <w:color w:val="000000"/>
                <w:szCs w:val="21"/>
              </w:rPr>
            </w:pPr>
            <w:r>
              <w:rPr>
                <w:rFonts w:hint="eastAsia" w:ascii="宋体" w:hAnsi="宋体" w:eastAsia="宋体" w:cs="宋体"/>
                <w:color w:val="000000"/>
                <w:szCs w:val="21"/>
              </w:rPr>
              <w:t>2.中标服务费：按照2002（1980）号文件及2003（857）号文件最高标准收取，由中标人支付。（不含税票）</w:t>
            </w:r>
          </w:p>
          <w:p>
            <w:pPr>
              <w:spacing w:line="520" w:lineRule="exact"/>
              <w:jc w:val="left"/>
              <w:rPr>
                <w:rFonts w:ascii="宋体" w:hAnsi="宋体" w:eastAsia="宋体" w:cs="宋体"/>
                <w:color w:val="000000"/>
                <w:szCs w:val="21"/>
              </w:rPr>
            </w:pPr>
            <w:r>
              <w:rPr>
                <w:rFonts w:hint="eastAsia" w:ascii="宋体" w:hAnsi="宋体" w:eastAsia="宋体" w:cs="宋体"/>
                <w:color w:val="000000"/>
                <w:szCs w:val="21"/>
              </w:rPr>
              <w:t>3.本项目谈判文件的解释权归采购人和采购人委托的招标代理机构。</w:t>
            </w:r>
          </w:p>
          <w:p>
            <w:pPr>
              <w:spacing w:line="520" w:lineRule="exact"/>
              <w:jc w:val="left"/>
              <w:rPr>
                <w:rFonts w:ascii="宋体" w:hAnsi="宋体" w:eastAsia="宋体" w:cs="宋体"/>
                <w:color w:val="000000"/>
                <w:szCs w:val="21"/>
              </w:rPr>
            </w:pPr>
            <w:r>
              <w:rPr>
                <w:rFonts w:hint="eastAsia" w:ascii="宋体" w:hAnsi="宋体" w:eastAsia="宋体" w:cs="宋体"/>
                <w:color w:val="000000"/>
                <w:szCs w:val="21"/>
              </w:rPr>
              <w:t>4.付款方式：合同签订当日支付定金10.5万元，剩余车款提车前一次性付清。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24</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履约保证金</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360" w:lineRule="auto"/>
              <w:jc w:val="left"/>
              <w:rPr>
                <w:rFonts w:ascii="宋体" w:hAnsi="宋体" w:eastAsia="宋体" w:cs="宋体"/>
                <w:color w:val="000000"/>
                <w:szCs w:val="21"/>
              </w:rPr>
            </w:pPr>
            <w:r>
              <w:rPr>
                <w:rFonts w:hint="eastAsia" w:ascii="宋体" w:hAnsi="宋体" w:eastAsia="宋体" w:cs="宋体"/>
                <w:color w:val="000000"/>
                <w:szCs w:val="21"/>
              </w:rPr>
              <w:t>中标人中标后按此账号缴纳履约保证金。</w:t>
            </w:r>
          </w:p>
          <w:p>
            <w:pPr>
              <w:autoSpaceDE w:val="0"/>
              <w:autoSpaceDN w:val="0"/>
              <w:adjustRightInd w:val="0"/>
              <w:spacing w:line="360" w:lineRule="auto"/>
              <w:jc w:val="left"/>
              <w:rPr>
                <w:rFonts w:ascii="宋体" w:hAnsi="宋体" w:eastAsia="宋体" w:cs="宋体"/>
                <w:color w:val="000000"/>
                <w:szCs w:val="21"/>
              </w:rPr>
            </w:pPr>
            <w:r>
              <w:rPr>
                <w:rFonts w:hint="eastAsia" w:ascii="宋体" w:hAnsi="宋体" w:eastAsia="宋体" w:cs="宋体"/>
                <w:color w:val="000000"/>
                <w:szCs w:val="21"/>
              </w:rPr>
              <w:t>履约保证金金额：中标价的5%。</w:t>
            </w:r>
          </w:p>
          <w:p>
            <w:pPr>
              <w:autoSpaceDE w:val="0"/>
              <w:autoSpaceDN w:val="0"/>
              <w:adjustRightInd w:val="0"/>
              <w:spacing w:line="360" w:lineRule="auto"/>
              <w:jc w:val="left"/>
              <w:rPr>
                <w:rFonts w:ascii="宋体" w:hAnsi="宋体" w:eastAsia="宋体" w:cs="宋体"/>
                <w:color w:val="000000"/>
                <w:szCs w:val="21"/>
              </w:rPr>
            </w:pPr>
            <w:r>
              <w:rPr>
                <w:rFonts w:hint="eastAsia" w:ascii="宋体" w:hAnsi="宋体" w:eastAsia="宋体" w:cs="宋体"/>
                <w:color w:val="000000"/>
                <w:szCs w:val="21"/>
              </w:rPr>
              <w:t>工程验收合格后，向中标人退还履约保证金。</w:t>
            </w:r>
          </w:p>
          <w:p>
            <w:pPr>
              <w:autoSpaceDE w:val="0"/>
              <w:autoSpaceDN w:val="0"/>
              <w:adjustRightInd w:val="0"/>
              <w:spacing w:line="360" w:lineRule="auto"/>
              <w:jc w:val="left"/>
              <w:rPr>
                <w:rFonts w:ascii="宋体" w:hAnsi="宋体" w:eastAsia="宋体" w:cs="宋体"/>
                <w:color w:val="000000"/>
                <w:szCs w:val="21"/>
              </w:rPr>
            </w:pPr>
            <w:r>
              <w:rPr>
                <w:rFonts w:hint="eastAsia" w:ascii="宋体" w:hAnsi="宋体" w:eastAsia="宋体" w:cs="宋体"/>
                <w:color w:val="000000"/>
                <w:szCs w:val="21"/>
              </w:rPr>
              <w:t>开户行：中原银行通许支行</w:t>
            </w:r>
          </w:p>
          <w:p>
            <w:pPr>
              <w:autoSpaceDE w:val="0"/>
              <w:autoSpaceDN w:val="0"/>
              <w:adjustRightInd w:val="0"/>
              <w:spacing w:line="360" w:lineRule="auto"/>
              <w:jc w:val="left"/>
              <w:rPr>
                <w:rFonts w:ascii="宋体" w:hAnsi="宋体" w:eastAsia="宋体" w:cs="宋体"/>
                <w:color w:val="000000"/>
                <w:szCs w:val="21"/>
              </w:rPr>
            </w:pPr>
            <w:r>
              <w:rPr>
                <w:rFonts w:hint="eastAsia" w:ascii="宋体" w:hAnsi="宋体" w:eastAsia="宋体" w:cs="宋体"/>
                <w:color w:val="000000"/>
                <w:szCs w:val="21"/>
              </w:rPr>
              <w:t>户名：通许县公共资源交易中心有限公司</w:t>
            </w:r>
          </w:p>
          <w:p>
            <w:pPr>
              <w:autoSpaceDE w:val="0"/>
              <w:autoSpaceDN w:val="0"/>
              <w:adjustRightInd w:val="0"/>
              <w:spacing w:line="360" w:lineRule="auto"/>
              <w:jc w:val="left"/>
              <w:rPr>
                <w:rFonts w:ascii="宋体" w:hAnsi="宋体" w:eastAsia="宋体" w:cs="宋体"/>
                <w:color w:val="000000"/>
                <w:szCs w:val="21"/>
              </w:rPr>
            </w:pPr>
            <w:r>
              <w:rPr>
                <w:rFonts w:hint="eastAsia" w:ascii="宋体" w:hAnsi="宋体" w:eastAsia="宋体" w:cs="宋体"/>
                <w:color w:val="000000"/>
                <w:szCs w:val="21"/>
              </w:rPr>
              <w:t>银行账号：410235010120011601（投标人需按此账号缴纳履约保证金）</w:t>
            </w:r>
          </w:p>
          <w:p>
            <w:pPr>
              <w:tabs>
                <w:tab w:val="left" w:pos="360"/>
              </w:tabs>
              <w:jc w:val="left"/>
              <w:rPr>
                <w:rFonts w:ascii="宋体" w:hAnsi="宋体" w:eastAsia="宋体" w:cs="宋体"/>
                <w:color w:val="000000"/>
                <w:szCs w:val="21"/>
              </w:rPr>
            </w:pPr>
            <w:r>
              <w:rPr>
                <w:rFonts w:hint="eastAsia" w:ascii="宋体" w:hAnsi="宋体" w:eastAsia="宋体" w:cs="宋体"/>
                <w:color w:val="000000"/>
                <w:szCs w:val="21"/>
              </w:rPr>
              <w:t>财务部电话：0371-22305012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25</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宋体" w:hAnsi="宋体" w:eastAsia="宋体" w:cs="宋体"/>
                <w:szCs w:val="21"/>
              </w:rPr>
            </w:pPr>
            <w:r>
              <w:rPr>
                <w:rFonts w:hint="eastAsia" w:ascii="宋体" w:hAnsi="宋体" w:eastAsia="宋体" w:cs="宋体"/>
                <w:szCs w:val="21"/>
                <w:lang w:val="zh-CN"/>
              </w:rPr>
              <w:t>特别提示</w:t>
            </w:r>
          </w:p>
        </w:tc>
        <w:tc>
          <w:tcPr>
            <w:tcW w:w="755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60" w:lineRule="auto"/>
              <w:rPr>
                <w:rFonts w:ascii="宋体" w:hAnsi="宋体" w:eastAsia="宋体" w:cs="宋体"/>
                <w:kern w:val="0"/>
                <w:szCs w:val="21"/>
              </w:rPr>
            </w:pPr>
            <w:r>
              <w:rPr>
                <w:rFonts w:hint="eastAsia" w:ascii="宋体" w:hAnsi="宋体" w:eastAsia="宋体" w:cs="宋体"/>
                <w:bCs/>
                <w:szCs w:val="21"/>
              </w:rPr>
              <w:t>谈判文件内容前后不一致的以谈判人须知前附表为准，谈判人须知前附表没有的以最后内容为准。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eastAsia="宋体" w:cs="宋体"/>
                <w:szCs w:val="21"/>
              </w:rPr>
            </w:pPr>
            <w:r>
              <w:rPr>
                <w:rFonts w:hint="eastAsia" w:ascii="宋体" w:hAnsi="宋体" w:eastAsia="宋体" w:cs="宋体"/>
                <w:color w:val="000000"/>
                <w:szCs w:val="21"/>
              </w:rPr>
              <w:t>26</w:t>
            </w:r>
          </w:p>
        </w:tc>
        <w:tc>
          <w:tcPr>
            <w:tcW w:w="95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szCs w:val="21"/>
              </w:rPr>
            </w:pPr>
            <w:r>
              <w:rPr>
                <w:rFonts w:hint="eastAsia" w:ascii="宋体" w:hAnsi="宋体" w:eastAsia="宋体" w:cs="宋体"/>
                <w:color w:val="000000"/>
                <w:szCs w:val="21"/>
              </w:rPr>
              <w:t>1、谈判人必须在投标文件中作出如下承诺：“我公司独立制作、修改和上传投标文件，并承担因‘硬件特征码一致’所造成的不良后果”。</w:t>
            </w:r>
          </w:p>
          <w:p>
            <w:pPr>
              <w:jc w:val="left"/>
              <w:rPr>
                <w:rFonts w:ascii="宋体" w:hAnsi="宋体" w:eastAsia="宋体" w:cs="宋体"/>
                <w:color w:val="000000"/>
                <w:szCs w:val="21"/>
              </w:rPr>
            </w:pPr>
            <w:r>
              <w:rPr>
                <w:rFonts w:hint="eastAsia" w:ascii="宋体" w:hAnsi="宋体" w:eastAsia="宋体" w:cs="宋体"/>
                <w:color w:val="000000"/>
                <w:szCs w:val="21"/>
              </w:rPr>
              <w:t>2、对于被认定为“硬件特征码一致”的谈判人，禁止其一年内在开封行政区域内参与招投标活动并在网上予以通报。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宋体" w:hAnsi="宋体" w:eastAsia="宋体" w:cs="宋体"/>
                <w:szCs w:val="21"/>
              </w:rPr>
            </w:pPr>
            <w:r>
              <w:rPr>
                <w:rFonts w:hint="eastAsia" w:ascii="宋体" w:hAnsi="宋体" w:eastAsia="宋体" w:cs="宋体"/>
                <w:szCs w:val="21"/>
              </w:rPr>
              <w:t>27</w:t>
            </w:r>
          </w:p>
        </w:tc>
        <w:tc>
          <w:tcPr>
            <w:tcW w:w="95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Cs w:val="21"/>
              </w:rPr>
            </w:pPr>
            <w:r>
              <w:rPr>
                <w:rFonts w:hint="eastAsia" w:ascii="宋体" w:hAnsi="宋体" w:eastAsia="宋体" w:cs="宋体"/>
                <w:szCs w:val="21"/>
              </w:rPr>
              <w:t>各投标（响应）人从参与项目交易开始至项目交易活动结束止，应时刻关注电子交易系统中的项目进度和状态，特别是项目评审期间。由于自身原因错过变更通知、文件澄清、报价响应（自系统发起30分钟内做出）等重要信息的，后果由投标（响应）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1039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rPr>
                <w:rFonts w:ascii="宋体" w:hAnsi="宋体" w:eastAsia="宋体" w:cs="宋体"/>
                <w:color w:val="000000"/>
                <w:szCs w:val="21"/>
              </w:rPr>
            </w:pPr>
            <w:r>
              <w:rPr>
                <w:rFonts w:hint="eastAsia" w:ascii="宋体" w:hAnsi="宋体" w:eastAsia="宋体" w:cs="宋体"/>
                <w:color w:val="000000"/>
                <w:szCs w:val="21"/>
              </w:rPr>
              <w:t>未尽事宜，按国家有关规定执行。</w:t>
            </w:r>
          </w:p>
        </w:tc>
      </w:tr>
    </w:tbl>
    <w:p>
      <w:bookmarkStart w:id="11" w:name="_Toc87235879"/>
      <w:bookmarkStart w:id="12" w:name="_Toc16508417"/>
    </w:p>
    <w:p>
      <w:pPr>
        <w:pStyle w:val="3"/>
        <w:widowControl/>
        <w:ind w:firstLine="3966" w:firstLineChars="1889"/>
        <w:rPr>
          <w:sz w:val="21"/>
          <w:szCs w:val="21"/>
        </w:rPr>
      </w:pPr>
      <w:bookmarkStart w:id="13" w:name="_Toc31648097"/>
      <w:r>
        <w:rPr>
          <w:rFonts w:hint="eastAsia" w:cs="黑体"/>
          <w:sz w:val="21"/>
          <w:szCs w:val="21"/>
        </w:rPr>
        <w:t>一、总</w:t>
      </w:r>
      <w:bookmarkEnd w:id="11"/>
      <w:bookmarkEnd w:id="12"/>
      <w:r>
        <w:rPr>
          <w:rFonts w:hint="eastAsia" w:cs="黑体"/>
          <w:sz w:val="21"/>
          <w:szCs w:val="21"/>
        </w:rPr>
        <w:t>则</w:t>
      </w:r>
      <w:bookmarkEnd w:id="13"/>
    </w:p>
    <w:p>
      <w:pPr>
        <w:tabs>
          <w:tab w:val="left" w:pos="360"/>
        </w:tabs>
        <w:spacing w:line="520" w:lineRule="exact"/>
        <w:ind w:firstLine="420" w:firstLineChars="200"/>
        <w:rPr>
          <w:rFonts w:ascii="宋体" w:hAnsi="宋体" w:eastAsia="宋体" w:cs="宋体"/>
          <w:b/>
          <w:szCs w:val="21"/>
        </w:rPr>
      </w:pPr>
      <w:bookmarkStart w:id="14" w:name="_Toc87235880"/>
      <w:r>
        <w:rPr>
          <w:rFonts w:hint="eastAsia" w:ascii="宋体" w:hAnsi="宋体" w:eastAsia="宋体" w:cs="宋体"/>
          <w:b/>
          <w:szCs w:val="21"/>
        </w:rPr>
        <w:t>1适用范围</w:t>
      </w:r>
    </w:p>
    <w:p>
      <w:pPr>
        <w:spacing w:line="520" w:lineRule="exact"/>
        <w:ind w:firstLine="420" w:firstLineChars="200"/>
        <w:rPr>
          <w:rFonts w:ascii="宋体" w:hAnsi="宋体" w:eastAsia="宋体" w:cs="宋体"/>
          <w:szCs w:val="21"/>
        </w:rPr>
      </w:pPr>
      <w:r>
        <w:rPr>
          <w:rFonts w:hint="eastAsia" w:ascii="宋体" w:hAnsi="宋体" w:eastAsia="宋体" w:cs="宋体"/>
          <w:szCs w:val="21"/>
        </w:rPr>
        <w:t>1.1本谈判文件仅适用本次招标项目。</w:t>
      </w:r>
    </w:p>
    <w:p>
      <w:pPr>
        <w:spacing w:line="520" w:lineRule="exact"/>
        <w:ind w:firstLine="420" w:firstLineChars="200"/>
        <w:rPr>
          <w:rFonts w:ascii="宋体" w:hAnsi="宋体" w:eastAsia="宋体" w:cs="宋体"/>
          <w:szCs w:val="21"/>
        </w:rPr>
      </w:pPr>
      <w:bookmarkStart w:id="15" w:name="_Toc286647840"/>
      <w:bookmarkStart w:id="16" w:name="_Toc276720095"/>
      <w:bookmarkStart w:id="17" w:name="_Toc275959535"/>
      <w:bookmarkStart w:id="18" w:name="_Toc275959279"/>
      <w:bookmarkStart w:id="19" w:name="_Toc275963890"/>
      <w:r>
        <w:rPr>
          <w:rFonts w:hint="eastAsia" w:ascii="宋体" w:hAnsi="宋体" w:eastAsia="宋体" w:cs="宋体"/>
          <w:szCs w:val="21"/>
        </w:rPr>
        <w:t>1.2 项目概况</w:t>
      </w:r>
      <w:bookmarkEnd w:id="15"/>
      <w:bookmarkEnd w:id="16"/>
      <w:bookmarkEnd w:id="17"/>
      <w:bookmarkEnd w:id="18"/>
      <w:bookmarkEnd w:id="19"/>
    </w:p>
    <w:p>
      <w:pPr>
        <w:spacing w:line="520" w:lineRule="exact"/>
        <w:ind w:firstLine="420" w:firstLineChars="200"/>
        <w:rPr>
          <w:rFonts w:ascii="宋体" w:hAnsi="宋体" w:eastAsia="宋体" w:cs="宋体"/>
          <w:szCs w:val="21"/>
        </w:rPr>
      </w:pPr>
      <w:r>
        <w:rPr>
          <w:rFonts w:hint="eastAsia" w:ascii="宋体" w:hAnsi="宋体" w:eastAsia="宋体" w:cs="宋体"/>
          <w:szCs w:val="21"/>
        </w:rPr>
        <w:t>1.2.1 根据《中华人民共和国政府采购法》等有关法律、法规和规章的规定，本招标项目已具备招标条件，现对本项目进行竞争性谈判招标。</w:t>
      </w:r>
    </w:p>
    <w:p>
      <w:pPr>
        <w:spacing w:line="520" w:lineRule="exact"/>
        <w:ind w:firstLine="420" w:firstLineChars="200"/>
        <w:rPr>
          <w:rFonts w:ascii="宋体" w:hAnsi="宋体" w:eastAsia="宋体" w:cs="宋体"/>
          <w:szCs w:val="21"/>
        </w:rPr>
      </w:pPr>
      <w:r>
        <w:rPr>
          <w:rFonts w:hint="eastAsia" w:ascii="宋体" w:hAnsi="宋体" w:eastAsia="宋体" w:cs="宋体"/>
          <w:szCs w:val="21"/>
        </w:rPr>
        <w:t>1.2.2 本招标项目采购人：见供应商须知前附表。</w:t>
      </w:r>
    </w:p>
    <w:p>
      <w:pPr>
        <w:spacing w:line="520" w:lineRule="exact"/>
        <w:ind w:firstLine="420" w:firstLineChars="200"/>
        <w:rPr>
          <w:rFonts w:ascii="宋体" w:hAnsi="宋体" w:eastAsia="宋体" w:cs="宋体"/>
          <w:szCs w:val="21"/>
        </w:rPr>
      </w:pPr>
      <w:r>
        <w:rPr>
          <w:rFonts w:hint="eastAsia" w:ascii="宋体" w:hAnsi="宋体" w:eastAsia="宋体" w:cs="宋体"/>
          <w:szCs w:val="21"/>
        </w:rPr>
        <w:t>1.2.3 本项目招标代理机构：见供应商须知前附表。</w:t>
      </w:r>
    </w:p>
    <w:p>
      <w:pPr>
        <w:spacing w:line="520" w:lineRule="exact"/>
        <w:ind w:firstLine="420" w:firstLineChars="200"/>
        <w:rPr>
          <w:rFonts w:ascii="宋体" w:hAnsi="宋体" w:eastAsia="宋体" w:cs="宋体"/>
          <w:szCs w:val="21"/>
        </w:rPr>
      </w:pPr>
      <w:r>
        <w:rPr>
          <w:rFonts w:hint="eastAsia" w:ascii="宋体" w:hAnsi="宋体" w:eastAsia="宋体" w:cs="宋体"/>
          <w:szCs w:val="21"/>
        </w:rPr>
        <w:t>1.2.4 本招标项目名称：见供应商须知前附表。</w:t>
      </w:r>
    </w:p>
    <w:p>
      <w:pPr>
        <w:spacing w:line="520" w:lineRule="exact"/>
        <w:ind w:firstLine="420" w:firstLineChars="200"/>
        <w:rPr>
          <w:rFonts w:ascii="宋体" w:hAnsi="宋体" w:eastAsia="宋体" w:cs="宋体"/>
          <w:szCs w:val="21"/>
        </w:rPr>
      </w:pPr>
      <w:r>
        <w:rPr>
          <w:rFonts w:hint="eastAsia" w:ascii="宋体" w:hAnsi="宋体" w:eastAsia="宋体" w:cs="宋体"/>
          <w:szCs w:val="21"/>
        </w:rPr>
        <w:t>1.2.5 本招标项目的资金来源与金额：见供应商须知前附表。</w:t>
      </w:r>
    </w:p>
    <w:p>
      <w:pPr>
        <w:spacing w:line="520" w:lineRule="exact"/>
        <w:ind w:firstLine="420" w:firstLineChars="200"/>
        <w:rPr>
          <w:rFonts w:ascii="宋体" w:hAnsi="宋体" w:eastAsia="宋体" w:cs="宋体"/>
          <w:szCs w:val="21"/>
        </w:rPr>
      </w:pPr>
      <w:r>
        <w:rPr>
          <w:rFonts w:hint="eastAsia" w:ascii="宋体" w:hAnsi="宋体" w:eastAsia="宋体" w:cs="宋体"/>
          <w:szCs w:val="21"/>
        </w:rPr>
        <w:t>1.2.6 本项目服务期限：见供应商须知前附表。</w:t>
      </w:r>
    </w:p>
    <w:p>
      <w:pPr>
        <w:spacing w:line="520" w:lineRule="exact"/>
        <w:ind w:firstLine="420" w:firstLineChars="200"/>
        <w:rPr>
          <w:rFonts w:ascii="宋体" w:hAnsi="宋体" w:eastAsia="宋体" w:cs="宋体"/>
          <w:szCs w:val="21"/>
        </w:rPr>
      </w:pPr>
      <w:r>
        <w:rPr>
          <w:rFonts w:hint="eastAsia" w:ascii="宋体" w:hAnsi="宋体" w:eastAsia="宋体" w:cs="宋体"/>
          <w:szCs w:val="21"/>
        </w:rPr>
        <w:t>1.2.7 本项目采购内容：见供应商须知前附表。</w:t>
      </w:r>
    </w:p>
    <w:p>
      <w:pPr>
        <w:tabs>
          <w:tab w:val="left" w:pos="360"/>
        </w:tabs>
        <w:spacing w:line="520" w:lineRule="exact"/>
        <w:ind w:firstLine="420" w:firstLineChars="200"/>
        <w:rPr>
          <w:rFonts w:ascii="宋体" w:hAnsi="宋体" w:eastAsia="宋体" w:cs="宋体"/>
          <w:b/>
          <w:szCs w:val="21"/>
        </w:rPr>
      </w:pPr>
      <w:r>
        <w:rPr>
          <w:rFonts w:hint="eastAsia" w:ascii="宋体" w:hAnsi="宋体" w:eastAsia="宋体" w:cs="宋体"/>
          <w:b/>
          <w:szCs w:val="21"/>
        </w:rPr>
        <w:t>2定义</w:t>
      </w:r>
    </w:p>
    <w:p>
      <w:pPr>
        <w:tabs>
          <w:tab w:val="left" w:pos="720"/>
        </w:tabs>
        <w:spacing w:line="520" w:lineRule="exact"/>
        <w:ind w:firstLine="420" w:firstLineChars="200"/>
        <w:rPr>
          <w:rFonts w:ascii="宋体" w:hAnsi="宋体" w:eastAsia="宋体" w:cs="宋体"/>
          <w:szCs w:val="21"/>
        </w:rPr>
      </w:pPr>
      <w:r>
        <w:rPr>
          <w:rFonts w:hint="eastAsia" w:ascii="宋体" w:hAnsi="宋体" w:eastAsia="宋体" w:cs="宋体"/>
          <w:szCs w:val="21"/>
        </w:rPr>
        <w:t>2.1 采购人（采购人）:依法进行政府采购的国家机关、事业单位、团体组织；</w:t>
      </w:r>
    </w:p>
    <w:p>
      <w:pPr>
        <w:spacing w:line="520" w:lineRule="exact"/>
        <w:ind w:firstLine="420" w:firstLineChars="200"/>
        <w:rPr>
          <w:rFonts w:ascii="宋体" w:hAnsi="宋体" w:eastAsia="宋体" w:cs="宋体"/>
          <w:b/>
          <w:szCs w:val="21"/>
        </w:rPr>
      </w:pPr>
      <w:r>
        <w:rPr>
          <w:rFonts w:hint="eastAsia" w:ascii="宋体" w:hAnsi="宋体" w:eastAsia="宋体" w:cs="宋体"/>
          <w:szCs w:val="21"/>
        </w:rPr>
        <w:t>2.2招标代理机构：取得政府采购招标代理资质，受采购人委托组织招标活动，在招标过程中负有相应责任的社会中介组织；</w:t>
      </w:r>
    </w:p>
    <w:p>
      <w:pPr>
        <w:spacing w:line="520" w:lineRule="exact"/>
        <w:ind w:firstLine="420" w:firstLineChars="200"/>
        <w:rPr>
          <w:rFonts w:ascii="宋体" w:hAnsi="宋体" w:eastAsia="宋体" w:cs="宋体"/>
          <w:szCs w:val="21"/>
        </w:rPr>
      </w:pPr>
      <w:r>
        <w:rPr>
          <w:rFonts w:hint="eastAsia" w:ascii="宋体" w:hAnsi="宋体" w:eastAsia="宋体" w:cs="宋体"/>
          <w:szCs w:val="21"/>
        </w:rPr>
        <w:t>2.3供应商资格：详见供应商须知前附表第8项；</w:t>
      </w:r>
    </w:p>
    <w:p>
      <w:pPr>
        <w:spacing w:line="520" w:lineRule="exact"/>
        <w:ind w:firstLine="420" w:firstLineChars="200"/>
        <w:rPr>
          <w:rFonts w:ascii="宋体" w:hAnsi="宋体" w:eastAsia="宋体" w:cs="宋体"/>
          <w:szCs w:val="21"/>
        </w:rPr>
      </w:pPr>
      <w:r>
        <w:rPr>
          <w:rFonts w:hint="eastAsia" w:ascii="宋体" w:hAnsi="宋体" w:eastAsia="宋体" w:cs="宋体"/>
          <w:szCs w:val="21"/>
        </w:rPr>
        <w:t>2.4中标人：接到并接受中标通知，最终被授予合同的供应商；</w:t>
      </w:r>
    </w:p>
    <w:p>
      <w:pPr>
        <w:spacing w:line="520" w:lineRule="exact"/>
        <w:ind w:firstLine="420" w:firstLineChars="200"/>
        <w:rPr>
          <w:rFonts w:ascii="宋体" w:hAnsi="宋体" w:eastAsia="宋体" w:cs="宋体"/>
          <w:szCs w:val="21"/>
        </w:rPr>
      </w:pPr>
      <w:r>
        <w:rPr>
          <w:rFonts w:hint="eastAsia" w:ascii="宋体" w:hAnsi="宋体" w:eastAsia="宋体" w:cs="宋体"/>
          <w:szCs w:val="21"/>
        </w:rPr>
        <w:t>2.5谈判响应文件：指投标商根据谈判文件提交的所有文件；</w:t>
      </w:r>
    </w:p>
    <w:p>
      <w:pPr>
        <w:spacing w:line="520" w:lineRule="exact"/>
        <w:ind w:firstLine="420" w:firstLineChars="200"/>
        <w:rPr>
          <w:rFonts w:ascii="宋体" w:hAnsi="宋体" w:eastAsia="宋体" w:cs="宋体"/>
          <w:szCs w:val="21"/>
        </w:rPr>
      </w:pPr>
      <w:r>
        <w:rPr>
          <w:rFonts w:hint="eastAsia" w:ascii="宋体" w:hAnsi="宋体" w:eastAsia="宋体" w:cs="宋体"/>
          <w:szCs w:val="21"/>
        </w:rPr>
        <w:t>2.6供应商：向采购人提供货物或者服务的法人、其他组织或者自然人；</w:t>
      </w:r>
    </w:p>
    <w:p>
      <w:pPr>
        <w:spacing w:line="520" w:lineRule="exact"/>
        <w:ind w:right="-153" w:rightChars="-73" w:firstLine="420" w:firstLineChars="200"/>
        <w:rPr>
          <w:rFonts w:ascii="宋体" w:hAnsi="宋体" w:eastAsia="宋体" w:cs="宋体"/>
          <w:szCs w:val="21"/>
        </w:rPr>
      </w:pPr>
      <w:r>
        <w:rPr>
          <w:rFonts w:hint="eastAsia" w:ascii="宋体" w:hAnsi="宋体" w:eastAsia="宋体" w:cs="宋体"/>
          <w:szCs w:val="21"/>
        </w:rPr>
        <w:t>2.7货物：指除了咨询服务以外的所有的物品、设备、装置和/或包括附件、备品备件、图纸、技术文件、用于运输和安装的包装、培训、维修和其他类似服务的供应。</w:t>
      </w:r>
    </w:p>
    <w:p>
      <w:pPr>
        <w:tabs>
          <w:tab w:val="left" w:pos="360"/>
        </w:tabs>
        <w:spacing w:line="520" w:lineRule="exact"/>
        <w:ind w:firstLine="420" w:firstLineChars="200"/>
        <w:rPr>
          <w:rFonts w:ascii="宋体" w:hAnsi="宋体" w:eastAsia="宋体" w:cs="宋体"/>
          <w:b/>
          <w:szCs w:val="21"/>
        </w:rPr>
      </w:pPr>
      <w:r>
        <w:rPr>
          <w:rFonts w:hint="eastAsia" w:ascii="宋体" w:hAnsi="宋体" w:eastAsia="宋体" w:cs="宋体"/>
          <w:b/>
          <w:szCs w:val="21"/>
        </w:rPr>
        <w:t>3投标费用</w:t>
      </w:r>
    </w:p>
    <w:p>
      <w:pPr>
        <w:tabs>
          <w:tab w:val="left" w:pos="420"/>
          <w:tab w:val="left" w:pos="1904"/>
        </w:tabs>
        <w:spacing w:line="520" w:lineRule="exact"/>
        <w:ind w:firstLine="420" w:firstLineChars="200"/>
        <w:rPr>
          <w:rFonts w:ascii="宋体" w:hAnsi="宋体" w:eastAsia="宋体" w:cs="宋体"/>
          <w:b/>
          <w:szCs w:val="21"/>
        </w:rPr>
      </w:pPr>
      <w:r>
        <w:rPr>
          <w:rFonts w:hint="eastAsia" w:ascii="宋体" w:hAnsi="宋体" w:eastAsia="宋体" w:cs="宋体"/>
          <w:szCs w:val="21"/>
        </w:rPr>
        <w:t>3.1 无论投标过程中的作法和结果如何,谈判响应申请人应自行承担所有与参加投标有关的全部费用，采购人及招标代理机构在任何情况下均无义务和责任承担上述费用。</w:t>
      </w:r>
    </w:p>
    <w:p>
      <w:pPr>
        <w:pStyle w:val="3"/>
        <w:widowControl/>
        <w:jc w:val="center"/>
        <w:rPr>
          <w:sz w:val="21"/>
          <w:szCs w:val="21"/>
        </w:rPr>
      </w:pPr>
      <w:bookmarkStart w:id="20" w:name="_Toc16508418"/>
      <w:bookmarkStart w:id="21" w:name="_Toc31648098"/>
      <w:r>
        <w:rPr>
          <w:rFonts w:hint="eastAsia" w:cs="黑体"/>
          <w:sz w:val="21"/>
          <w:szCs w:val="21"/>
        </w:rPr>
        <w:t>二、谈判文件</w:t>
      </w:r>
      <w:bookmarkEnd w:id="14"/>
      <w:bookmarkEnd w:id="20"/>
      <w:bookmarkEnd w:id="21"/>
    </w:p>
    <w:p>
      <w:pPr>
        <w:tabs>
          <w:tab w:val="left" w:pos="1904"/>
        </w:tabs>
        <w:spacing w:line="520" w:lineRule="exact"/>
        <w:ind w:firstLine="420" w:firstLineChars="200"/>
        <w:rPr>
          <w:rFonts w:ascii="宋体" w:hAnsi="宋体" w:eastAsia="宋体" w:cs="宋体"/>
          <w:b/>
          <w:szCs w:val="21"/>
        </w:rPr>
      </w:pPr>
      <w:r>
        <w:rPr>
          <w:rFonts w:hint="eastAsia" w:ascii="宋体" w:hAnsi="宋体" w:eastAsia="宋体" w:cs="宋体"/>
          <w:b/>
          <w:szCs w:val="21"/>
        </w:rPr>
        <w:t>4谈判文件的组成</w:t>
      </w:r>
    </w:p>
    <w:p>
      <w:pPr>
        <w:pStyle w:val="17"/>
        <w:tabs>
          <w:tab w:val="left" w:pos="720"/>
        </w:tabs>
        <w:spacing w:line="520" w:lineRule="exact"/>
        <w:ind w:left="0" w:firstLine="420" w:firstLineChars="200"/>
        <w:rPr>
          <w:rFonts w:ascii="宋体" w:hAnsi="宋体" w:eastAsia="宋体" w:cs="宋体"/>
          <w:sz w:val="21"/>
          <w:szCs w:val="21"/>
        </w:rPr>
      </w:pPr>
      <w:r>
        <w:rPr>
          <w:rFonts w:hint="eastAsia" w:ascii="宋体" w:hAnsi="宋体" w:eastAsia="宋体" w:cs="宋体"/>
          <w:sz w:val="21"/>
          <w:szCs w:val="21"/>
        </w:rPr>
        <w:t>4.1谈判文件用以阐明本次招标的货物要求、招标投标程序和合同条件。</w:t>
      </w:r>
    </w:p>
    <w:p>
      <w:pPr>
        <w:pStyle w:val="17"/>
        <w:tabs>
          <w:tab w:val="left" w:pos="720"/>
          <w:tab w:val="left" w:pos="1080"/>
        </w:tabs>
        <w:spacing w:line="520" w:lineRule="exact"/>
        <w:ind w:left="420" w:leftChars="200" w:firstLine="105" w:firstLineChars="50"/>
        <w:rPr>
          <w:rFonts w:ascii="宋体" w:hAnsi="宋体" w:eastAsia="宋体" w:cs="宋体"/>
          <w:sz w:val="21"/>
          <w:szCs w:val="21"/>
        </w:rPr>
      </w:pPr>
      <w:r>
        <w:rPr>
          <w:rFonts w:hint="eastAsia" w:ascii="宋体" w:hAnsi="宋体" w:eastAsia="宋体" w:cs="宋体"/>
          <w:sz w:val="21"/>
          <w:szCs w:val="21"/>
        </w:rPr>
        <w:t xml:space="preserve">谈判文件由下述部分组成： </w:t>
      </w:r>
    </w:p>
    <w:p>
      <w:pPr>
        <w:pStyle w:val="17"/>
        <w:tabs>
          <w:tab w:val="left" w:pos="720"/>
          <w:tab w:val="left" w:pos="1080"/>
        </w:tabs>
        <w:spacing w:line="520" w:lineRule="exact"/>
        <w:ind w:left="0" w:firstLine="0"/>
        <w:rPr>
          <w:rFonts w:ascii="宋体" w:hAnsi="宋体" w:eastAsia="宋体" w:cs="宋体"/>
          <w:b/>
          <w:sz w:val="21"/>
          <w:szCs w:val="21"/>
        </w:rPr>
      </w:pPr>
      <w:r>
        <w:rPr>
          <w:rFonts w:hint="eastAsia" w:ascii="宋体" w:hAnsi="宋体" w:eastAsia="宋体" w:cs="宋体"/>
          <w:sz w:val="21"/>
          <w:szCs w:val="21"/>
        </w:rPr>
        <w:t>第一章 招标公告</w:t>
      </w:r>
    </w:p>
    <w:p>
      <w:pPr>
        <w:pStyle w:val="15"/>
        <w:tabs>
          <w:tab w:val="left" w:pos="1080"/>
        </w:tabs>
        <w:spacing w:line="520" w:lineRule="exact"/>
        <w:ind w:left="420" w:leftChars="200" w:firstLine="105" w:firstLineChars="50"/>
        <w:rPr>
          <w:rFonts w:ascii="宋体" w:hAnsi="宋体" w:eastAsia="宋体" w:cs="宋体"/>
          <w:sz w:val="21"/>
          <w:szCs w:val="21"/>
        </w:rPr>
      </w:pPr>
      <w:r>
        <w:rPr>
          <w:rFonts w:hint="eastAsia" w:ascii="宋体" w:hAnsi="宋体" w:eastAsia="宋体" w:cs="宋体"/>
          <w:sz w:val="21"/>
          <w:szCs w:val="21"/>
        </w:rPr>
        <w:t>第二章 供应商须知及前附表</w:t>
      </w:r>
    </w:p>
    <w:p>
      <w:pPr>
        <w:pStyle w:val="15"/>
        <w:tabs>
          <w:tab w:val="left" w:pos="1080"/>
        </w:tabs>
        <w:spacing w:line="520" w:lineRule="exact"/>
        <w:ind w:left="420" w:leftChars="200" w:firstLine="105" w:firstLineChars="50"/>
        <w:rPr>
          <w:rFonts w:ascii="宋体" w:hAnsi="宋体" w:eastAsia="宋体" w:cs="宋体"/>
          <w:sz w:val="21"/>
          <w:szCs w:val="21"/>
        </w:rPr>
      </w:pPr>
      <w:r>
        <w:rPr>
          <w:rFonts w:hint="eastAsia" w:ascii="宋体" w:hAnsi="宋体" w:eastAsia="宋体" w:cs="宋体"/>
          <w:sz w:val="21"/>
          <w:szCs w:val="21"/>
        </w:rPr>
        <w:t>第三章 评标办法；</w:t>
      </w:r>
    </w:p>
    <w:p>
      <w:pPr>
        <w:pStyle w:val="15"/>
        <w:tabs>
          <w:tab w:val="left" w:pos="1080"/>
        </w:tabs>
        <w:spacing w:line="520" w:lineRule="exact"/>
        <w:ind w:left="420" w:leftChars="200" w:firstLine="105" w:firstLineChars="50"/>
        <w:rPr>
          <w:rFonts w:ascii="宋体" w:hAnsi="宋体" w:eastAsia="宋体" w:cs="宋体"/>
          <w:sz w:val="21"/>
          <w:szCs w:val="21"/>
        </w:rPr>
      </w:pPr>
      <w:r>
        <w:rPr>
          <w:rFonts w:hint="eastAsia" w:ascii="宋体" w:hAnsi="宋体" w:eastAsia="宋体" w:cs="宋体"/>
          <w:sz w:val="21"/>
          <w:szCs w:val="21"/>
        </w:rPr>
        <w:t xml:space="preserve">第四章 </w:t>
      </w:r>
      <w:r>
        <w:fldChar w:fldCharType="begin"/>
      </w:r>
      <w:r>
        <w:instrText xml:space="preserve"> HYPERLINK "file:///H:\\开封市教育局学生课桌凳采购项目招标文件20141110.rtf" \l "_合同条款#_合同条款" </w:instrText>
      </w:r>
      <w:r>
        <w:fldChar w:fldCharType="separate"/>
      </w:r>
      <w:r>
        <w:rPr>
          <w:rStyle w:val="26"/>
          <w:rFonts w:hint="eastAsia" w:eastAsia="宋体" w:cs="宋体"/>
          <w:color w:val="auto"/>
          <w:sz w:val="21"/>
          <w:szCs w:val="21"/>
        </w:rPr>
        <w:t>合同条款</w:t>
      </w:r>
      <w:r>
        <w:rPr>
          <w:rStyle w:val="26"/>
          <w:rFonts w:hint="eastAsia" w:eastAsia="宋体" w:cs="宋体"/>
          <w:color w:val="auto"/>
          <w:sz w:val="21"/>
          <w:szCs w:val="21"/>
        </w:rPr>
        <w:fldChar w:fldCharType="end"/>
      </w:r>
      <w:r>
        <w:rPr>
          <w:rFonts w:hint="eastAsia" w:ascii="宋体" w:hAnsi="宋体" w:eastAsia="宋体" w:cs="宋体"/>
          <w:sz w:val="21"/>
          <w:szCs w:val="21"/>
        </w:rPr>
        <w:t>；</w:t>
      </w:r>
    </w:p>
    <w:p>
      <w:pPr>
        <w:pStyle w:val="15"/>
        <w:tabs>
          <w:tab w:val="left" w:pos="1080"/>
        </w:tabs>
        <w:spacing w:line="520" w:lineRule="exact"/>
        <w:ind w:left="420" w:leftChars="200" w:firstLine="105" w:firstLineChars="50"/>
        <w:rPr>
          <w:rFonts w:ascii="宋体" w:hAnsi="宋体" w:eastAsia="宋体" w:cs="宋体"/>
          <w:sz w:val="21"/>
          <w:szCs w:val="21"/>
        </w:rPr>
      </w:pPr>
      <w:r>
        <w:rPr>
          <w:rFonts w:hint="eastAsia" w:ascii="宋体" w:hAnsi="宋体" w:eastAsia="宋体" w:cs="宋体"/>
          <w:sz w:val="21"/>
          <w:szCs w:val="21"/>
        </w:rPr>
        <w:t>第五章 服务内容及要求；</w:t>
      </w:r>
    </w:p>
    <w:p>
      <w:pPr>
        <w:pStyle w:val="15"/>
        <w:spacing w:line="520" w:lineRule="exact"/>
        <w:ind w:left="420" w:leftChars="200" w:firstLine="105" w:firstLineChars="50"/>
        <w:rPr>
          <w:rFonts w:ascii="宋体" w:hAnsi="宋体" w:eastAsia="宋体" w:cs="宋体"/>
          <w:sz w:val="21"/>
          <w:szCs w:val="21"/>
        </w:rPr>
      </w:pPr>
      <w:r>
        <w:rPr>
          <w:rFonts w:hint="eastAsia" w:ascii="宋体" w:hAnsi="宋体" w:eastAsia="宋体" w:cs="宋体"/>
          <w:sz w:val="21"/>
          <w:szCs w:val="21"/>
        </w:rPr>
        <w:t>第六章 谈判响应文件格式；</w:t>
      </w:r>
    </w:p>
    <w:p>
      <w:pPr>
        <w:pStyle w:val="17"/>
        <w:tabs>
          <w:tab w:val="left" w:pos="720"/>
        </w:tabs>
        <w:spacing w:line="520" w:lineRule="exact"/>
        <w:ind w:left="0" w:firstLine="420" w:firstLineChars="200"/>
        <w:rPr>
          <w:rFonts w:ascii="宋体" w:hAnsi="宋体" w:eastAsia="宋体" w:cs="宋体"/>
          <w:sz w:val="21"/>
          <w:szCs w:val="21"/>
        </w:rPr>
      </w:pPr>
      <w:r>
        <w:rPr>
          <w:rFonts w:hint="eastAsia" w:ascii="宋体" w:hAnsi="宋体" w:eastAsia="宋体" w:cs="宋体"/>
          <w:sz w:val="21"/>
          <w:szCs w:val="21"/>
        </w:rPr>
        <w:t>4.2供应商应仔细阅读谈判响应文件中供应商须知、合同条款的所有事项、格式要求和技术规范，按谈判文件的要求提供谈判文件，并保证所提供的全部资料的真实性，以使其投标对谈判文件做出实质性响应，否则，将承担其投标被拒绝或废标的风险；</w:t>
      </w:r>
    </w:p>
    <w:p>
      <w:pPr>
        <w:spacing w:line="520" w:lineRule="exact"/>
        <w:ind w:firstLine="420" w:firstLineChars="200"/>
        <w:rPr>
          <w:rFonts w:ascii="宋体" w:hAnsi="宋体" w:eastAsia="宋体" w:cs="宋体"/>
          <w:b/>
          <w:szCs w:val="21"/>
        </w:rPr>
      </w:pPr>
      <w:r>
        <w:rPr>
          <w:rFonts w:hint="eastAsia" w:ascii="宋体" w:hAnsi="宋体" w:eastAsia="宋体" w:cs="宋体"/>
          <w:b/>
          <w:szCs w:val="21"/>
        </w:rPr>
        <w:t>5谈判文件的澄清</w:t>
      </w:r>
    </w:p>
    <w:p>
      <w:pPr>
        <w:tabs>
          <w:tab w:val="left" w:pos="525"/>
          <w:tab w:val="left" w:pos="1904"/>
        </w:tabs>
        <w:spacing w:line="520" w:lineRule="exact"/>
        <w:ind w:firstLine="420" w:firstLineChars="200"/>
        <w:rPr>
          <w:rFonts w:ascii="宋体" w:hAnsi="宋体" w:eastAsia="宋体" w:cs="宋体"/>
          <w:szCs w:val="21"/>
        </w:rPr>
      </w:pPr>
      <w:r>
        <w:rPr>
          <w:rFonts w:hint="eastAsia" w:ascii="宋体" w:hAnsi="宋体" w:eastAsia="宋体" w:cs="宋体"/>
          <w:szCs w:val="21"/>
        </w:rPr>
        <w:t>5.1供应商对谈判文件如有需要澄清的疑问，在投标截止之前3日应以电子邮件方式通知到招标代理机构。招标代理机构将视情况在前附表中所述的投标截止日期3日前以书面方式予以答复，同时将不标明疑问来源的答复函发每个购买谈判文件的所有潜在供应商。</w:t>
      </w:r>
    </w:p>
    <w:p>
      <w:pPr>
        <w:spacing w:line="520" w:lineRule="exact"/>
        <w:ind w:firstLine="420" w:firstLineChars="200"/>
        <w:rPr>
          <w:rFonts w:ascii="宋体" w:hAnsi="宋体" w:eastAsia="宋体" w:cs="宋体"/>
          <w:b/>
          <w:szCs w:val="21"/>
        </w:rPr>
      </w:pPr>
      <w:r>
        <w:rPr>
          <w:rFonts w:hint="eastAsia" w:ascii="宋体" w:hAnsi="宋体" w:eastAsia="宋体" w:cs="宋体"/>
          <w:b/>
          <w:szCs w:val="21"/>
        </w:rPr>
        <w:t>6谈判文件的修改</w:t>
      </w:r>
    </w:p>
    <w:p>
      <w:pPr>
        <w:tabs>
          <w:tab w:val="left" w:pos="525"/>
          <w:tab w:val="left" w:pos="1904"/>
        </w:tabs>
        <w:spacing w:line="520" w:lineRule="exact"/>
        <w:ind w:firstLine="420" w:firstLineChars="200"/>
        <w:rPr>
          <w:rFonts w:ascii="宋体" w:hAnsi="宋体" w:eastAsia="宋体" w:cs="宋体"/>
          <w:szCs w:val="21"/>
        </w:rPr>
      </w:pPr>
      <w:r>
        <w:rPr>
          <w:rFonts w:hint="eastAsia" w:ascii="宋体" w:hAnsi="宋体" w:eastAsia="宋体" w:cs="宋体"/>
          <w:szCs w:val="21"/>
        </w:rPr>
        <w:t>6.1谈判文件的修改在投标截止之前1日，将以书面方式通知到已购买谈判文件的所有潜在供应商，并构成谈判文件的一部分，对所有供应商均具有约束力；</w:t>
      </w:r>
    </w:p>
    <w:p>
      <w:pPr>
        <w:tabs>
          <w:tab w:val="left" w:pos="720"/>
          <w:tab w:val="left" w:pos="1904"/>
        </w:tabs>
        <w:spacing w:line="520" w:lineRule="exact"/>
        <w:ind w:firstLine="420" w:firstLineChars="200"/>
        <w:rPr>
          <w:rFonts w:ascii="宋体" w:hAnsi="宋体" w:eastAsia="宋体" w:cs="宋体"/>
          <w:szCs w:val="21"/>
        </w:rPr>
      </w:pPr>
      <w:r>
        <w:rPr>
          <w:rFonts w:hint="eastAsia" w:ascii="宋体" w:hAnsi="宋体" w:eastAsia="宋体" w:cs="宋体"/>
          <w:szCs w:val="21"/>
        </w:rPr>
        <w:t>6.2供应商在收到上述通知后，应立即向招标代理机构回函确认；</w:t>
      </w:r>
    </w:p>
    <w:p>
      <w:pPr>
        <w:tabs>
          <w:tab w:val="left" w:pos="720"/>
          <w:tab w:val="left" w:pos="1904"/>
        </w:tabs>
        <w:spacing w:line="520" w:lineRule="exact"/>
        <w:ind w:firstLine="404" w:firstLineChars="200"/>
        <w:rPr>
          <w:rFonts w:ascii="宋体" w:hAnsi="宋体" w:eastAsia="宋体" w:cs="宋体"/>
          <w:spacing w:val="-4"/>
          <w:szCs w:val="21"/>
        </w:rPr>
      </w:pPr>
      <w:r>
        <w:rPr>
          <w:rFonts w:hint="eastAsia" w:ascii="宋体" w:hAnsi="宋体" w:eastAsia="宋体" w:cs="宋体"/>
          <w:spacing w:val="-4"/>
          <w:szCs w:val="21"/>
        </w:rPr>
        <w:t>6.3为使供应商有充分的时间对谈判文件的修改部分进行研究，招标代理机构可适当延长投标截止期；</w:t>
      </w:r>
    </w:p>
    <w:p>
      <w:pPr>
        <w:tabs>
          <w:tab w:val="left" w:pos="720"/>
          <w:tab w:val="left" w:pos="1904"/>
        </w:tabs>
        <w:spacing w:line="520" w:lineRule="exact"/>
        <w:ind w:firstLine="420" w:firstLineChars="200"/>
        <w:rPr>
          <w:rFonts w:ascii="宋体" w:hAnsi="宋体" w:eastAsia="宋体" w:cs="宋体"/>
          <w:szCs w:val="21"/>
        </w:rPr>
      </w:pPr>
      <w:r>
        <w:rPr>
          <w:rFonts w:hint="eastAsia" w:ascii="宋体" w:hAnsi="宋体" w:eastAsia="宋体" w:cs="宋体"/>
          <w:szCs w:val="21"/>
        </w:rPr>
        <w:t>6.4当谈判文件、补充（答疑）通知文件内容相互矛盾时，以最后发出的文件为准。</w:t>
      </w:r>
      <w:bookmarkStart w:id="22" w:name="_Toc87235881"/>
    </w:p>
    <w:p>
      <w:pPr>
        <w:pStyle w:val="3"/>
        <w:widowControl/>
        <w:jc w:val="center"/>
        <w:rPr>
          <w:sz w:val="21"/>
          <w:szCs w:val="21"/>
        </w:rPr>
      </w:pPr>
      <w:bookmarkStart w:id="23" w:name="_Toc31648099"/>
      <w:bookmarkStart w:id="24" w:name="_Toc16508419"/>
      <w:r>
        <w:rPr>
          <w:rFonts w:hint="eastAsia" w:cs="黑体"/>
          <w:sz w:val="21"/>
          <w:szCs w:val="21"/>
        </w:rPr>
        <w:t>三、谈判响应文件的编制</w:t>
      </w:r>
      <w:bookmarkEnd w:id="22"/>
      <w:bookmarkEnd w:id="23"/>
      <w:bookmarkEnd w:id="24"/>
    </w:p>
    <w:p>
      <w:pPr>
        <w:tabs>
          <w:tab w:val="left" w:pos="1904"/>
        </w:tabs>
        <w:spacing w:line="520" w:lineRule="exact"/>
        <w:ind w:firstLine="420" w:firstLineChars="200"/>
        <w:rPr>
          <w:rFonts w:ascii="宋体" w:hAnsi="宋体" w:eastAsia="宋体" w:cs="宋体"/>
          <w:b/>
          <w:szCs w:val="21"/>
        </w:rPr>
      </w:pPr>
      <w:bookmarkStart w:id="25" w:name="_Toc87235882"/>
      <w:r>
        <w:rPr>
          <w:rFonts w:hint="eastAsia" w:ascii="宋体" w:hAnsi="宋体" w:eastAsia="宋体" w:cs="宋体"/>
          <w:b/>
          <w:szCs w:val="21"/>
        </w:rPr>
        <w:t>7投标语言</w:t>
      </w:r>
    </w:p>
    <w:p>
      <w:pPr>
        <w:tabs>
          <w:tab w:val="left" w:pos="1904"/>
        </w:tabs>
        <w:spacing w:line="520" w:lineRule="exact"/>
        <w:ind w:firstLine="420" w:firstLineChars="200"/>
        <w:rPr>
          <w:rFonts w:ascii="宋体" w:hAnsi="宋体" w:eastAsia="宋体" w:cs="宋体"/>
          <w:b/>
          <w:szCs w:val="21"/>
        </w:rPr>
      </w:pPr>
      <w:r>
        <w:rPr>
          <w:rFonts w:hint="eastAsia" w:ascii="宋体" w:hAnsi="宋体" w:eastAsia="宋体" w:cs="宋体"/>
          <w:b/>
          <w:szCs w:val="21"/>
        </w:rPr>
        <w:t>7.1</w:t>
      </w:r>
      <w:r>
        <w:rPr>
          <w:rFonts w:hint="eastAsia" w:ascii="宋体" w:hAnsi="宋体" w:eastAsia="宋体" w:cs="宋体"/>
          <w:szCs w:val="21"/>
        </w:rPr>
        <w:t>谈判响应文件以及供应商所有与采购人及招标代理机构就投标来往的函电均使用中文。供应商提供的外文资料应附有相应的中文译本，并以中文译本为准。</w:t>
      </w:r>
    </w:p>
    <w:p>
      <w:pPr>
        <w:tabs>
          <w:tab w:val="left" w:pos="1904"/>
        </w:tabs>
        <w:spacing w:line="520" w:lineRule="exact"/>
        <w:ind w:firstLine="420" w:firstLineChars="200"/>
        <w:rPr>
          <w:rFonts w:ascii="宋体" w:hAnsi="宋体" w:eastAsia="宋体" w:cs="宋体"/>
          <w:b/>
          <w:szCs w:val="21"/>
        </w:rPr>
      </w:pPr>
      <w:r>
        <w:rPr>
          <w:rFonts w:hint="eastAsia" w:ascii="宋体" w:hAnsi="宋体" w:eastAsia="宋体" w:cs="宋体"/>
          <w:b/>
          <w:szCs w:val="21"/>
        </w:rPr>
        <w:t>8谈判响应文件计量单位</w:t>
      </w:r>
    </w:p>
    <w:p>
      <w:pPr>
        <w:pStyle w:val="15"/>
        <w:tabs>
          <w:tab w:val="left" w:pos="721"/>
        </w:tabs>
        <w:spacing w:line="520" w:lineRule="exact"/>
        <w:ind w:left="0" w:firstLine="420" w:firstLineChars="200"/>
        <w:rPr>
          <w:rFonts w:ascii="宋体" w:hAnsi="宋体" w:eastAsia="宋体" w:cs="宋体"/>
          <w:sz w:val="21"/>
          <w:szCs w:val="21"/>
        </w:rPr>
      </w:pPr>
      <w:r>
        <w:rPr>
          <w:rFonts w:hint="eastAsia" w:ascii="宋体" w:hAnsi="宋体" w:eastAsia="宋体" w:cs="宋体"/>
          <w:b/>
          <w:sz w:val="21"/>
          <w:szCs w:val="21"/>
        </w:rPr>
        <w:t>8.1</w:t>
      </w:r>
      <w:r>
        <w:rPr>
          <w:rFonts w:hint="eastAsia" w:ascii="宋体" w:hAnsi="宋体" w:eastAsia="宋体" w:cs="宋体"/>
          <w:sz w:val="21"/>
          <w:szCs w:val="21"/>
        </w:rPr>
        <w:t>除在谈判文件的技术文件中另有规定外，计量单位均使用公制计量单位。</w:t>
      </w:r>
    </w:p>
    <w:p>
      <w:pPr>
        <w:tabs>
          <w:tab w:val="left" w:pos="1904"/>
        </w:tabs>
        <w:spacing w:line="520" w:lineRule="exact"/>
        <w:ind w:firstLine="420" w:firstLineChars="200"/>
        <w:rPr>
          <w:rFonts w:ascii="宋体" w:hAnsi="宋体" w:eastAsia="宋体" w:cs="宋体"/>
          <w:b/>
          <w:szCs w:val="21"/>
        </w:rPr>
      </w:pPr>
      <w:r>
        <w:rPr>
          <w:rFonts w:hint="eastAsia" w:ascii="宋体" w:hAnsi="宋体" w:eastAsia="宋体" w:cs="宋体"/>
          <w:b/>
          <w:szCs w:val="21"/>
        </w:rPr>
        <w:t>9谈判响应文件的组成</w:t>
      </w:r>
    </w:p>
    <w:p>
      <w:pPr>
        <w:tabs>
          <w:tab w:val="left" w:pos="720"/>
        </w:tabs>
        <w:spacing w:line="520" w:lineRule="exact"/>
        <w:ind w:firstLine="420" w:firstLineChars="200"/>
        <w:rPr>
          <w:rFonts w:ascii="宋体" w:hAnsi="宋体" w:eastAsia="宋体" w:cs="宋体"/>
          <w:szCs w:val="21"/>
        </w:rPr>
      </w:pPr>
      <w:r>
        <w:rPr>
          <w:rFonts w:hint="eastAsia" w:ascii="宋体" w:hAnsi="宋体" w:eastAsia="宋体" w:cs="宋体"/>
          <w:szCs w:val="21"/>
        </w:rPr>
        <w:t>9.1谈判响应文件包括下列部分：</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一、谈判函</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二、谈判函附录</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 xml:space="preserve">三、法定代表人资格证明书 </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四、法定代表人授权委托书</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五、谈判人资格审查资料</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 xml:space="preserve">六、项目采购承诺 </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七、货物分项报价表</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八、技术规格和商务条款偏差表</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九、反商业贿赂承诺书</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 xml:space="preserve">十、谈判文件要求的其它材料及谈判人认为有必要提供的材料 </w:t>
      </w:r>
    </w:p>
    <w:p>
      <w:pPr>
        <w:spacing w:line="480" w:lineRule="exact"/>
        <w:rPr>
          <w:rFonts w:ascii="宋体" w:hAnsi="宋体" w:eastAsia="宋体" w:cs="宋体"/>
          <w:b/>
          <w:szCs w:val="21"/>
        </w:rPr>
      </w:pPr>
      <w:r>
        <w:rPr>
          <w:rFonts w:hint="eastAsia" w:ascii="宋体" w:hAnsi="宋体" w:eastAsia="宋体" w:cs="宋体"/>
          <w:b/>
          <w:szCs w:val="21"/>
        </w:rPr>
        <w:t>10投标格式</w:t>
      </w:r>
    </w:p>
    <w:p>
      <w:pPr>
        <w:numPr>
          <w:ilvl w:val="0"/>
          <w:numId w:val="2"/>
        </w:numPr>
        <w:spacing w:line="480" w:lineRule="exact"/>
        <w:ind w:firstLine="396" w:firstLineChars="200"/>
        <w:rPr>
          <w:rFonts w:ascii="宋体" w:hAnsi="宋体" w:eastAsia="宋体" w:cs="宋体"/>
          <w:spacing w:val="-6"/>
          <w:szCs w:val="21"/>
        </w:rPr>
      </w:pPr>
      <w:r>
        <w:rPr>
          <w:rFonts w:hint="eastAsia" w:ascii="宋体" w:hAnsi="宋体" w:eastAsia="宋体" w:cs="宋体"/>
          <w:spacing w:val="-6"/>
          <w:szCs w:val="21"/>
        </w:rPr>
        <w:t>10.1供应商应按照谈判文件中提供的格式完整地填写谈判响应文件、</w:t>
      </w:r>
      <w:r>
        <w:rPr>
          <w:rFonts w:hint="eastAsia" w:ascii="宋体" w:hAnsi="宋体" w:eastAsia="宋体" w:cs="宋体"/>
          <w:szCs w:val="21"/>
        </w:rPr>
        <w:t>开标一览表、投标报价表</w:t>
      </w:r>
      <w:r>
        <w:rPr>
          <w:rFonts w:hint="eastAsia" w:ascii="宋体" w:hAnsi="宋体" w:eastAsia="宋体" w:cs="宋体"/>
          <w:spacing w:val="-6"/>
          <w:szCs w:val="21"/>
        </w:rPr>
        <w:t>，按谈判文件提供的资格证明格式（见附件）提交谈判文件要求的资格证明文件。</w:t>
      </w:r>
    </w:p>
    <w:p>
      <w:pPr>
        <w:tabs>
          <w:tab w:val="left" w:pos="735"/>
        </w:tabs>
        <w:spacing w:line="520" w:lineRule="exact"/>
        <w:ind w:firstLine="396" w:firstLineChars="200"/>
        <w:rPr>
          <w:rFonts w:ascii="宋体" w:hAnsi="宋体" w:eastAsia="宋体" w:cs="宋体"/>
          <w:spacing w:val="-6"/>
          <w:szCs w:val="21"/>
        </w:rPr>
      </w:pPr>
      <w:r>
        <w:rPr>
          <w:rFonts w:hint="eastAsia" w:ascii="宋体" w:hAnsi="宋体" w:eastAsia="宋体" w:cs="宋体"/>
          <w:spacing w:val="-6"/>
          <w:szCs w:val="21"/>
        </w:rPr>
        <w:t>11</w:t>
      </w:r>
      <w:r>
        <w:rPr>
          <w:rFonts w:hint="eastAsia" w:ascii="宋体" w:hAnsi="宋体" w:eastAsia="宋体" w:cs="宋体"/>
          <w:b/>
          <w:szCs w:val="21"/>
        </w:rPr>
        <w:t>投标报价</w:t>
      </w:r>
    </w:p>
    <w:p>
      <w:pPr>
        <w:tabs>
          <w:tab w:val="left" w:pos="735"/>
        </w:tabs>
        <w:spacing w:line="520" w:lineRule="exact"/>
        <w:ind w:firstLine="396" w:firstLineChars="200"/>
        <w:rPr>
          <w:rFonts w:ascii="宋体" w:hAnsi="宋体" w:eastAsia="宋体" w:cs="宋体"/>
          <w:spacing w:val="-6"/>
          <w:szCs w:val="21"/>
        </w:rPr>
      </w:pPr>
      <w:r>
        <w:rPr>
          <w:rFonts w:hint="eastAsia" w:ascii="宋体" w:hAnsi="宋体" w:eastAsia="宋体" w:cs="宋体"/>
          <w:spacing w:val="-6"/>
          <w:szCs w:val="21"/>
        </w:rPr>
        <w:t>11.1</w:t>
      </w:r>
      <w:r>
        <w:rPr>
          <w:rFonts w:hint="eastAsia" w:ascii="宋体" w:hAnsi="宋体" w:eastAsia="宋体" w:cs="宋体"/>
          <w:color w:val="000000"/>
          <w:szCs w:val="21"/>
        </w:rPr>
        <w:t>本项目设有招标控制价，</w:t>
      </w:r>
      <w:r>
        <w:rPr>
          <w:rFonts w:hint="eastAsia" w:ascii="宋体" w:hAnsi="宋体" w:eastAsia="宋体" w:cs="Arial"/>
          <w:bCs/>
          <w:szCs w:val="21"/>
        </w:rPr>
        <w:t>招标控制价是采购人控制招标项目造价的最高限价，供应商的报价大于招标控制价的视为无效报价，其投标按废标处理。投标报价均保留两位小数点，否则为废标处理。</w:t>
      </w:r>
    </w:p>
    <w:p>
      <w:pPr>
        <w:tabs>
          <w:tab w:val="left" w:pos="735"/>
        </w:tabs>
        <w:spacing w:line="520" w:lineRule="exact"/>
        <w:ind w:firstLine="396" w:firstLineChars="200"/>
        <w:rPr>
          <w:rFonts w:ascii="宋体" w:hAnsi="宋体" w:eastAsia="宋体" w:cs="宋体"/>
          <w:spacing w:val="-6"/>
          <w:szCs w:val="21"/>
        </w:rPr>
      </w:pPr>
      <w:r>
        <w:rPr>
          <w:rFonts w:hint="eastAsia" w:ascii="宋体" w:hAnsi="宋体" w:eastAsia="宋体" w:cs="宋体"/>
          <w:spacing w:val="-6"/>
          <w:szCs w:val="21"/>
        </w:rPr>
        <w:t>11.2供应商根据谈判文件要求以及现场实地考察情况，对所投货物根据市场行情自主报价。</w:t>
      </w:r>
    </w:p>
    <w:p>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11.3</w:t>
      </w:r>
      <w:r>
        <w:rPr>
          <w:rFonts w:hint="eastAsia" w:ascii="宋体" w:hAnsi="宋体" w:eastAsia="宋体" w:cs="宋体"/>
          <w:szCs w:val="21"/>
        </w:rPr>
        <w:t>如投标报价中的大写金额和小写金额不一致的，以大写金额为准；总价金额与单价金额不一致的，以单价金额为准，但单价金额小数点有明显错误的除外；对不同文字文本谈判响应文件的解释发生异议的，以中文文本为准。</w:t>
      </w:r>
    </w:p>
    <w:p>
      <w:pPr>
        <w:tabs>
          <w:tab w:val="left" w:pos="840"/>
        </w:tabs>
        <w:spacing w:line="520" w:lineRule="exact"/>
        <w:ind w:firstLine="420" w:firstLineChars="200"/>
        <w:rPr>
          <w:rFonts w:ascii="宋体" w:hAnsi="宋体" w:eastAsia="宋体" w:cs="宋体"/>
          <w:szCs w:val="21"/>
        </w:rPr>
      </w:pPr>
      <w:r>
        <w:rPr>
          <w:rFonts w:hint="eastAsia" w:ascii="宋体" w:hAnsi="宋体" w:eastAsia="宋体" w:cs="宋体"/>
          <w:szCs w:val="21"/>
        </w:rPr>
        <w:t>11.4供应商的投标报价包含货物验收合格交付采购人使用前所发生的一切费用，且供应商对每种货物只能提出一个不变价格，采购人不接受任何选择价。</w:t>
      </w:r>
    </w:p>
    <w:p>
      <w:pPr>
        <w:tabs>
          <w:tab w:val="left" w:pos="840"/>
        </w:tabs>
        <w:spacing w:line="520" w:lineRule="exact"/>
        <w:ind w:firstLine="420" w:firstLineChars="200"/>
        <w:rPr>
          <w:rFonts w:ascii="宋体" w:hAnsi="宋体" w:eastAsia="宋体" w:cs="宋体"/>
          <w:szCs w:val="21"/>
        </w:rPr>
      </w:pPr>
      <w:r>
        <w:rPr>
          <w:rFonts w:hint="eastAsia" w:ascii="宋体" w:hAnsi="宋体" w:eastAsia="宋体" w:cs="宋体"/>
          <w:szCs w:val="21"/>
        </w:rPr>
        <w:t>11.5全部报价均应以人民币为计量币种，并以人民币进行结算。</w:t>
      </w:r>
    </w:p>
    <w:p>
      <w:pPr>
        <w:spacing w:line="520" w:lineRule="exact"/>
        <w:ind w:firstLine="420" w:firstLineChars="200"/>
        <w:rPr>
          <w:rFonts w:ascii="宋体" w:hAnsi="宋体" w:eastAsia="宋体" w:cs="宋体"/>
          <w:b/>
          <w:kern w:val="0"/>
          <w:szCs w:val="21"/>
        </w:rPr>
      </w:pPr>
      <w:r>
        <w:rPr>
          <w:rFonts w:hint="eastAsia" w:ascii="宋体" w:hAnsi="宋体" w:eastAsia="宋体" w:cs="宋体"/>
          <w:b/>
          <w:snapToGrid w:val="0"/>
          <w:kern w:val="0"/>
          <w:szCs w:val="21"/>
        </w:rPr>
        <w:t>12投标货币</w:t>
      </w:r>
    </w:p>
    <w:p>
      <w:pPr>
        <w:pStyle w:val="15"/>
        <w:tabs>
          <w:tab w:val="left" w:pos="720"/>
        </w:tabs>
        <w:spacing w:line="520" w:lineRule="exact"/>
        <w:ind w:left="0" w:firstLine="420" w:firstLineChars="200"/>
        <w:rPr>
          <w:rFonts w:ascii="宋体" w:hAnsi="宋体" w:eastAsia="宋体" w:cs="宋体"/>
          <w:sz w:val="21"/>
          <w:szCs w:val="21"/>
        </w:rPr>
      </w:pPr>
      <w:r>
        <w:rPr>
          <w:rFonts w:hint="eastAsia" w:ascii="宋体" w:hAnsi="宋体" w:eastAsia="宋体" w:cs="宋体"/>
          <w:snapToGrid w:val="0"/>
          <w:kern w:val="0"/>
          <w:sz w:val="21"/>
          <w:szCs w:val="21"/>
        </w:rPr>
        <w:t>12.1除非另有规定，供应商提供的所有货物和服务</w:t>
      </w:r>
      <w:r>
        <w:rPr>
          <w:rFonts w:hint="eastAsia" w:ascii="宋体" w:hAnsi="宋体" w:eastAsia="宋体" w:cs="宋体"/>
          <w:sz w:val="21"/>
          <w:szCs w:val="21"/>
        </w:rPr>
        <w:t>用人民币报价。</w:t>
      </w:r>
    </w:p>
    <w:p>
      <w:pPr>
        <w:spacing w:line="520" w:lineRule="exact"/>
        <w:ind w:firstLine="420" w:firstLineChars="200"/>
        <w:rPr>
          <w:rFonts w:ascii="宋体" w:hAnsi="宋体" w:eastAsia="宋体" w:cs="宋体"/>
          <w:b/>
          <w:szCs w:val="21"/>
        </w:rPr>
      </w:pPr>
      <w:r>
        <w:rPr>
          <w:rFonts w:hint="eastAsia" w:ascii="宋体" w:hAnsi="宋体" w:eastAsia="宋体" w:cs="宋体"/>
          <w:b/>
          <w:szCs w:val="21"/>
        </w:rPr>
        <w:t>13供应商资格的证明文件</w:t>
      </w:r>
    </w:p>
    <w:p>
      <w:pPr>
        <w:tabs>
          <w:tab w:val="left" w:pos="720"/>
        </w:tabs>
        <w:spacing w:line="520" w:lineRule="exact"/>
        <w:ind w:firstLine="420" w:firstLineChars="200"/>
        <w:rPr>
          <w:rFonts w:ascii="宋体" w:hAnsi="宋体" w:eastAsia="宋体" w:cs="宋体"/>
          <w:szCs w:val="21"/>
        </w:rPr>
      </w:pPr>
      <w:r>
        <w:rPr>
          <w:rFonts w:hint="eastAsia" w:ascii="宋体" w:hAnsi="宋体" w:eastAsia="宋体" w:cs="宋体"/>
          <w:szCs w:val="21"/>
        </w:rPr>
        <w:t>13.1依据要求提交相应的资格证明文件，作为谈判响应文件的一部分，以证明其有资格进行投标和有能力履行合同。不允许联合体投标；</w:t>
      </w:r>
    </w:p>
    <w:p>
      <w:pPr>
        <w:tabs>
          <w:tab w:val="left" w:pos="720"/>
        </w:tabs>
        <w:spacing w:line="520" w:lineRule="exact"/>
        <w:ind w:firstLine="420" w:firstLineChars="200"/>
        <w:rPr>
          <w:rFonts w:ascii="宋体" w:hAnsi="宋体" w:eastAsia="宋体" w:cs="宋体"/>
          <w:szCs w:val="21"/>
        </w:rPr>
      </w:pPr>
      <w:r>
        <w:rPr>
          <w:rFonts w:hint="eastAsia" w:ascii="宋体" w:hAnsi="宋体" w:eastAsia="宋体" w:cs="宋体"/>
          <w:szCs w:val="21"/>
        </w:rPr>
        <w:t>13.2供应商具有履行合同所需的财务、技术和生产能力的证明文件；</w:t>
      </w:r>
    </w:p>
    <w:p>
      <w:pPr>
        <w:spacing w:line="520" w:lineRule="exact"/>
        <w:ind w:firstLine="420" w:firstLineChars="200"/>
        <w:rPr>
          <w:rFonts w:ascii="宋体" w:hAnsi="宋体" w:eastAsia="宋体" w:cs="宋体"/>
          <w:b/>
          <w:szCs w:val="21"/>
        </w:rPr>
      </w:pPr>
      <w:r>
        <w:rPr>
          <w:rFonts w:hint="eastAsia" w:ascii="宋体" w:hAnsi="宋体" w:eastAsia="宋体" w:cs="宋体"/>
          <w:b/>
          <w:szCs w:val="21"/>
        </w:rPr>
        <w:t>15投标有效期</w:t>
      </w:r>
    </w:p>
    <w:p>
      <w:pPr>
        <w:tabs>
          <w:tab w:val="left" w:pos="720"/>
        </w:tabs>
        <w:spacing w:line="520" w:lineRule="exact"/>
        <w:ind w:firstLine="420" w:firstLineChars="200"/>
        <w:rPr>
          <w:rFonts w:ascii="宋体" w:hAnsi="宋体" w:eastAsia="宋体" w:cs="宋体"/>
          <w:szCs w:val="21"/>
        </w:rPr>
      </w:pPr>
      <w:r>
        <w:rPr>
          <w:rFonts w:hint="eastAsia" w:ascii="宋体" w:hAnsi="宋体" w:eastAsia="宋体" w:cs="宋体"/>
          <w:szCs w:val="21"/>
        </w:rPr>
        <w:t>15.1谈判响应文件应自投标规定的开标日起，在“供应商须知前附表”规定的时间内保持有效。投标有效期不足的将被为非响应投标而予以拒绝；</w:t>
      </w:r>
    </w:p>
    <w:p>
      <w:pPr>
        <w:tabs>
          <w:tab w:val="left" w:pos="720"/>
        </w:tabs>
        <w:spacing w:line="520" w:lineRule="exact"/>
        <w:ind w:firstLine="420" w:firstLineChars="200"/>
        <w:rPr>
          <w:rFonts w:ascii="宋体" w:hAnsi="宋体" w:eastAsia="宋体" w:cs="宋体"/>
          <w:szCs w:val="21"/>
        </w:rPr>
      </w:pPr>
      <w:r>
        <w:rPr>
          <w:rFonts w:hint="eastAsia" w:ascii="宋体" w:hAnsi="宋体" w:eastAsia="宋体" w:cs="宋体"/>
          <w:szCs w:val="21"/>
        </w:rPr>
        <w:t>15.2在</w:t>
      </w:r>
      <w:r>
        <w:rPr>
          <w:rFonts w:hint="eastAsia" w:ascii="宋体" w:hAnsi="宋体" w:eastAsia="宋体" w:cs="宋体"/>
          <w:spacing w:val="-8"/>
          <w:szCs w:val="21"/>
        </w:rPr>
        <w:t>特殊情况下，采购人和招标代理机构可征求供应商同意延长投标有效期。这种要求与答复均应以书面形式提交。供应商可以拒绝这种要求。同意延期的供应商将不会被要求也不允许修改其投标</w:t>
      </w:r>
      <w:r>
        <w:rPr>
          <w:rFonts w:hint="eastAsia" w:ascii="宋体" w:hAnsi="宋体" w:eastAsia="宋体" w:cs="宋体"/>
          <w:szCs w:val="21"/>
        </w:rPr>
        <w:t>；</w:t>
      </w:r>
    </w:p>
    <w:bookmarkEnd w:id="25"/>
    <w:p>
      <w:pPr>
        <w:tabs>
          <w:tab w:val="left" w:pos="720"/>
        </w:tabs>
        <w:spacing w:line="480" w:lineRule="exact"/>
        <w:ind w:firstLine="420" w:firstLineChars="200"/>
        <w:rPr>
          <w:rFonts w:ascii="宋体" w:hAnsi="Calibri" w:eastAsia="宋体" w:cs="宋体"/>
          <w:b/>
          <w:szCs w:val="21"/>
        </w:rPr>
      </w:pPr>
      <w:bookmarkStart w:id="26" w:name="_Toc87235885"/>
      <w:r>
        <w:rPr>
          <w:rFonts w:hint="eastAsia" w:ascii="宋体" w:hAnsi="宋体" w:eastAsia="宋体" w:cs="宋体"/>
          <w:b/>
          <w:szCs w:val="21"/>
        </w:rPr>
        <w:t>16投标截止期</w:t>
      </w:r>
    </w:p>
    <w:p>
      <w:pPr>
        <w:tabs>
          <w:tab w:val="left" w:pos="720"/>
          <w:tab w:val="left" w:pos="1185"/>
        </w:tabs>
        <w:spacing w:line="480" w:lineRule="exact"/>
        <w:ind w:firstLine="420" w:firstLineChars="200"/>
        <w:rPr>
          <w:rFonts w:ascii="宋体" w:hAnsi="Calibri" w:eastAsia="宋体" w:cs="宋体"/>
          <w:szCs w:val="21"/>
        </w:rPr>
      </w:pPr>
      <w:r>
        <w:rPr>
          <w:rFonts w:hint="eastAsia" w:ascii="宋体" w:hAnsi="宋体" w:eastAsia="宋体" w:cs="宋体"/>
          <w:szCs w:val="21"/>
        </w:rPr>
        <w:t>16.1供应商应在不迟于“投标须知前附表”中规定的截止日期和时间将谈判响应文件按照“投标须知前附表”中载明的地址递交至采购人或招标代理机构；</w:t>
      </w:r>
    </w:p>
    <w:p>
      <w:pPr>
        <w:tabs>
          <w:tab w:val="left" w:pos="720"/>
          <w:tab w:val="left" w:pos="1185"/>
        </w:tabs>
        <w:spacing w:line="480" w:lineRule="exact"/>
        <w:ind w:firstLine="404" w:firstLineChars="200"/>
        <w:rPr>
          <w:rFonts w:ascii="宋体" w:hAnsi="Calibri" w:eastAsia="宋体" w:cs="宋体"/>
          <w:spacing w:val="-4"/>
          <w:szCs w:val="21"/>
        </w:rPr>
      </w:pPr>
      <w:r>
        <w:rPr>
          <w:rFonts w:hint="eastAsia" w:ascii="宋体" w:hAnsi="宋体" w:eastAsia="宋体" w:cs="宋体"/>
          <w:spacing w:val="-4"/>
          <w:szCs w:val="21"/>
        </w:rPr>
        <w:t>16.2采购人和招标代理机构可以按第6条规定，通过修改谈判文件自行决定酌情延长投标截止期限。在此情况下，采购人、招标代理机构和供应商受投标截止期制约的所有权利和义务均应延长至新的截止日期。</w:t>
      </w:r>
    </w:p>
    <w:p>
      <w:pPr>
        <w:tabs>
          <w:tab w:val="left" w:pos="720"/>
        </w:tabs>
        <w:spacing w:line="480" w:lineRule="exact"/>
        <w:ind w:firstLine="420" w:firstLineChars="200"/>
        <w:rPr>
          <w:rFonts w:ascii="宋体" w:hAnsi="Calibri" w:eastAsia="宋体" w:cs="宋体"/>
          <w:b/>
          <w:szCs w:val="21"/>
        </w:rPr>
      </w:pPr>
      <w:r>
        <w:rPr>
          <w:rFonts w:hint="eastAsia" w:ascii="宋体" w:hAnsi="宋体" w:eastAsia="宋体" w:cs="宋体"/>
          <w:b/>
          <w:szCs w:val="21"/>
        </w:rPr>
        <w:t>17迟交的谈判响应文件</w:t>
      </w:r>
    </w:p>
    <w:p>
      <w:pPr>
        <w:pStyle w:val="9"/>
        <w:tabs>
          <w:tab w:val="left" w:pos="720"/>
        </w:tabs>
        <w:spacing w:line="480" w:lineRule="exact"/>
        <w:ind w:firstLine="404" w:firstLineChars="200"/>
        <w:textAlignment w:val="baseline"/>
        <w:rPr>
          <w:rFonts w:hint="default"/>
          <w:sz w:val="21"/>
          <w:szCs w:val="21"/>
        </w:rPr>
      </w:pPr>
      <w:r>
        <w:rPr>
          <w:spacing w:val="-4"/>
          <w:sz w:val="21"/>
          <w:szCs w:val="21"/>
        </w:rPr>
        <w:t>17.1逾期送达的的任何谈判响应文件</w:t>
      </w:r>
      <w:r>
        <w:rPr>
          <w:sz w:val="21"/>
          <w:szCs w:val="21"/>
        </w:rPr>
        <w:t>，采购人不予接收。</w:t>
      </w:r>
    </w:p>
    <w:p>
      <w:pPr>
        <w:tabs>
          <w:tab w:val="left" w:pos="720"/>
        </w:tabs>
        <w:spacing w:line="480" w:lineRule="exact"/>
        <w:ind w:firstLine="420" w:firstLineChars="200"/>
        <w:rPr>
          <w:rFonts w:ascii="宋体" w:hAnsi="Calibri" w:eastAsia="宋体" w:cs="宋体"/>
          <w:b/>
          <w:szCs w:val="21"/>
        </w:rPr>
      </w:pPr>
      <w:r>
        <w:rPr>
          <w:rFonts w:hint="eastAsia" w:ascii="宋体" w:hAnsi="宋体" w:eastAsia="宋体" w:cs="宋体"/>
          <w:b/>
          <w:szCs w:val="21"/>
        </w:rPr>
        <w:t>18谈判响应文件的修改和撤回</w:t>
      </w:r>
    </w:p>
    <w:p>
      <w:pPr>
        <w:pStyle w:val="9"/>
        <w:tabs>
          <w:tab w:val="left" w:pos="720"/>
        </w:tabs>
        <w:spacing w:line="480" w:lineRule="exact"/>
        <w:ind w:firstLine="420" w:firstLineChars="200"/>
        <w:textAlignment w:val="baseline"/>
        <w:rPr>
          <w:rFonts w:hint="default"/>
          <w:sz w:val="21"/>
          <w:szCs w:val="21"/>
        </w:rPr>
      </w:pPr>
      <w:r>
        <w:rPr>
          <w:sz w:val="21"/>
          <w:szCs w:val="21"/>
        </w:rPr>
        <w:t>18.1供应商的修改或撤回通知书应按规定编制、标记和递交；</w:t>
      </w:r>
    </w:p>
    <w:p>
      <w:pPr>
        <w:pStyle w:val="9"/>
        <w:tabs>
          <w:tab w:val="left" w:pos="720"/>
        </w:tabs>
        <w:spacing w:line="480" w:lineRule="exact"/>
        <w:ind w:firstLine="420" w:firstLineChars="200"/>
        <w:textAlignment w:val="baseline"/>
        <w:rPr>
          <w:rFonts w:hint="default"/>
          <w:sz w:val="21"/>
          <w:szCs w:val="21"/>
        </w:rPr>
      </w:pPr>
      <w:r>
        <w:rPr>
          <w:sz w:val="21"/>
          <w:szCs w:val="21"/>
        </w:rPr>
        <w:t>18.2在投标截止期之后，供应商不得对其投标做任何修改；</w:t>
      </w:r>
    </w:p>
    <w:p>
      <w:pPr>
        <w:pStyle w:val="9"/>
        <w:tabs>
          <w:tab w:val="left" w:pos="720"/>
        </w:tabs>
        <w:spacing w:line="480" w:lineRule="exact"/>
        <w:ind w:firstLine="420" w:firstLineChars="200"/>
        <w:textAlignment w:val="baseline"/>
        <w:rPr>
          <w:rFonts w:hint="default"/>
          <w:sz w:val="21"/>
          <w:szCs w:val="21"/>
        </w:rPr>
      </w:pPr>
      <w:r>
        <w:rPr>
          <w:sz w:val="21"/>
          <w:szCs w:val="21"/>
        </w:rPr>
        <w:t>18.3从投标截止期至供应商在谈判响应文件中载明的投标有效期满期间，供应商不得撤回其投标。</w:t>
      </w:r>
    </w:p>
    <w:p>
      <w:pPr>
        <w:pStyle w:val="3"/>
        <w:widowControl/>
        <w:jc w:val="center"/>
        <w:rPr>
          <w:sz w:val="21"/>
          <w:szCs w:val="21"/>
        </w:rPr>
      </w:pPr>
      <w:bookmarkStart w:id="27" w:name="_Toc31648100"/>
      <w:bookmarkStart w:id="28" w:name="_Toc16508421"/>
      <w:bookmarkStart w:id="29" w:name="_Toc9248"/>
      <w:bookmarkStart w:id="30" w:name="_Toc87235883"/>
      <w:r>
        <w:rPr>
          <w:rFonts w:hint="eastAsia" w:cs="黑体"/>
          <w:sz w:val="21"/>
          <w:szCs w:val="21"/>
        </w:rPr>
        <w:t>五、开标、评标、定标</w:t>
      </w:r>
      <w:bookmarkEnd w:id="27"/>
      <w:bookmarkEnd w:id="28"/>
      <w:bookmarkEnd w:id="29"/>
      <w:bookmarkEnd w:id="30"/>
    </w:p>
    <w:p>
      <w:pPr>
        <w:tabs>
          <w:tab w:val="left" w:pos="720"/>
        </w:tabs>
        <w:spacing w:line="480" w:lineRule="exact"/>
        <w:ind w:firstLine="420" w:firstLineChars="200"/>
        <w:rPr>
          <w:rFonts w:ascii="宋体" w:hAnsi="Calibri" w:eastAsia="宋体" w:cs="宋体"/>
          <w:b/>
          <w:szCs w:val="21"/>
        </w:rPr>
      </w:pPr>
      <w:r>
        <w:rPr>
          <w:rFonts w:hint="eastAsia" w:ascii="宋体" w:hAnsi="宋体" w:eastAsia="宋体" w:cs="宋体"/>
          <w:b/>
          <w:szCs w:val="21"/>
        </w:rPr>
        <w:t>19开标</w:t>
      </w:r>
    </w:p>
    <w:p>
      <w:pPr>
        <w:tabs>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19.1招标代理机构在“投标须知前附表”中规定的日期、时间和地点组织公开开标。开标时所有投标单位法定代表人或授权委托人应携有效身份证明参加开标会议</w:t>
      </w:r>
      <w:r>
        <w:rPr>
          <w:rFonts w:hint="eastAsia" w:ascii="宋体" w:hAnsi="宋体" w:eastAsia="宋体" w:cs="宋体"/>
          <w:spacing w:val="-4"/>
          <w:kern w:val="0"/>
          <w:szCs w:val="21"/>
        </w:rPr>
        <w:t>，</w:t>
      </w:r>
      <w:r>
        <w:rPr>
          <w:rFonts w:hint="eastAsia" w:ascii="宋体" w:hAnsi="宋体" w:eastAsia="宋体" w:cs="宋体"/>
          <w:szCs w:val="21"/>
        </w:rPr>
        <w:t>参加开标的代表应签名报到以证明其出席；</w:t>
      </w:r>
    </w:p>
    <w:p>
      <w:pPr>
        <w:tabs>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19.2开标时，招标代理机构当众宣读供应商名称、修改和撤回投标的通知、投标价格，以及其他采购人和招标代理机构认为必要的内容；</w:t>
      </w:r>
    </w:p>
    <w:p>
      <w:pPr>
        <w:tabs>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19.3招标代理机构将对开标情况做详细记录。</w:t>
      </w:r>
    </w:p>
    <w:p>
      <w:pPr>
        <w:tabs>
          <w:tab w:val="left" w:pos="720"/>
        </w:tabs>
        <w:spacing w:line="480" w:lineRule="exact"/>
        <w:ind w:firstLine="420" w:firstLineChars="200"/>
        <w:rPr>
          <w:rFonts w:ascii="宋体" w:hAnsi="Calibri" w:eastAsia="宋体" w:cs="宋体"/>
          <w:b/>
          <w:szCs w:val="21"/>
        </w:rPr>
      </w:pPr>
      <w:r>
        <w:rPr>
          <w:rFonts w:hint="eastAsia" w:ascii="宋体" w:hAnsi="宋体" w:eastAsia="宋体" w:cs="宋体"/>
          <w:b/>
          <w:szCs w:val="21"/>
        </w:rPr>
        <w:t>20评标工作</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20.1评标工作由评标委员会（下称评委会）主持对所有供应商的谈判响应文件进行评审，评审通过后依据供应商投标报价由低到高的顺序推荐中标候选人；本次招标选出3名中标候选人。</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20.2本次评委会成员由采购人代表1名，经济、技术类专家2人，共3人组成。</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评标委员会成员有下列情形之一的，应当回避：</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（1）采购人或供应商的主要负责人的近亲属；</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（2）项目主管部门或者行政监督部门的人员；</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（3）与供应商有经济利益关系，可能影响对投标公正评审的；</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（4）曾因在招标、评标以及其他与招标投标有关活动中从事违法行为而受过行政处罚或刑事处罚的。</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20.3 评标原则</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评标活动遵循公平、公正、科学和择优的原则。</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评标委员会按照第三章“评标办法”规定的方法、评审因素、标准和程序对谈判响应文件进行评审。第三章“评标办法”没有规定的方法、评审因素和标准，不作为评标依据。</w:t>
      </w:r>
    </w:p>
    <w:p>
      <w:pPr>
        <w:tabs>
          <w:tab w:val="left" w:pos="720"/>
        </w:tabs>
        <w:spacing w:line="480" w:lineRule="exact"/>
        <w:ind w:firstLine="420" w:firstLineChars="200"/>
        <w:rPr>
          <w:rFonts w:ascii="宋体" w:hAnsi="Calibri" w:eastAsia="宋体" w:cs="宋体"/>
          <w:b/>
          <w:szCs w:val="21"/>
        </w:rPr>
      </w:pPr>
      <w:r>
        <w:rPr>
          <w:rFonts w:hint="eastAsia" w:ascii="宋体" w:hAnsi="宋体" w:eastAsia="宋体" w:cs="宋体"/>
          <w:b/>
          <w:szCs w:val="21"/>
        </w:rPr>
        <w:t>21谈判响应文件的澄清</w:t>
      </w:r>
    </w:p>
    <w:p>
      <w:pPr>
        <w:pStyle w:val="15"/>
        <w:tabs>
          <w:tab w:val="left" w:pos="570"/>
          <w:tab w:val="left" w:pos="720"/>
        </w:tabs>
        <w:spacing w:line="480" w:lineRule="exact"/>
        <w:ind w:left="0" w:firstLine="412" w:firstLineChars="200"/>
        <w:rPr>
          <w:rFonts w:ascii="宋体" w:hAnsi="宋体" w:eastAsia="宋体" w:cs="宋体"/>
          <w:spacing w:val="-2"/>
          <w:sz w:val="21"/>
          <w:szCs w:val="21"/>
        </w:rPr>
      </w:pPr>
      <w:r>
        <w:rPr>
          <w:rFonts w:hint="eastAsia" w:ascii="宋体" w:hAnsi="宋体" w:eastAsia="宋体" w:cs="宋体"/>
          <w:spacing w:val="-2"/>
          <w:sz w:val="21"/>
          <w:szCs w:val="21"/>
        </w:rPr>
        <w:t>21.1为了有助于对谈判响应文件进行审查、评估和比较，评委会有权向供应商质疑，请供应商澄清其投标内容。供应商有责任按照招标代理机构通知的时间、地点、方式由供应商或其授权代表进行答疑和澄清；</w:t>
      </w:r>
    </w:p>
    <w:p>
      <w:pPr>
        <w:pStyle w:val="15"/>
        <w:tabs>
          <w:tab w:val="left" w:pos="570"/>
          <w:tab w:val="left" w:pos="720"/>
        </w:tabs>
        <w:spacing w:line="480" w:lineRule="exact"/>
        <w:ind w:left="0" w:firstLine="420" w:firstLineChars="200"/>
        <w:rPr>
          <w:rFonts w:ascii="宋体" w:hAnsi="宋体" w:eastAsia="宋体" w:cs="宋体"/>
          <w:sz w:val="21"/>
          <w:szCs w:val="21"/>
        </w:rPr>
      </w:pPr>
      <w:r>
        <w:rPr>
          <w:rFonts w:hint="eastAsia" w:ascii="宋体" w:hAnsi="宋体" w:eastAsia="宋体" w:cs="宋体"/>
          <w:sz w:val="21"/>
          <w:szCs w:val="21"/>
        </w:rPr>
        <w:t>21.2重要澄清的答复应是书面的，并由供应商法定代表人或其委托代理人签字；</w:t>
      </w:r>
    </w:p>
    <w:p>
      <w:pPr>
        <w:pStyle w:val="15"/>
        <w:tabs>
          <w:tab w:val="left" w:pos="570"/>
          <w:tab w:val="left" w:pos="720"/>
        </w:tabs>
        <w:spacing w:line="480" w:lineRule="exact"/>
        <w:ind w:left="0" w:firstLine="420" w:firstLineChars="200"/>
        <w:rPr>
          <w:rFonts w:ascii="宋体" w:hAnsi="宋体" w:eastAsia="宋体" w:cs="宋体"/>
          <w:sz w:val="21"/>
          <w:szCs w:val="21"/>
        </w:rPr>
      </w:pPr>
      <w:r>
        <w:rPr>
          <w:rFonts w:hint="eastAsia" w:ascii="宋体" w:hAnsi="宋体" w:eastAsia="宋体" w:cs="宋体"/>
          <w:sz w:val="21"/>
          <w:szCs w:val="21"/>
        </w:rPr>
        <w:t>21.3供应商的澄清文件是谈判响应文件的组成部分，并取代谈判响应文件中被澄清的部分；</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21.4谈判响应文件的澄清不得对投标内容进行实质性修改。</w:t>
      </w:r>
    </w:p>
    <w:p>
      <w:pPr>
        <w:tabs>
          <w:tab w:val="left" w:pos="720"/>
        </w:tabs>
        <w:spacing w:line="480" w:lineRule="exact"/>
        <w:ind w:firstLine="420" w:firstLineChars="200"/>
        <w:rPr>
          <w:rFonts w:ascii="宋体" w:hAnsi="宋体" w:eastAsia="宋体" w:cs="宋体"/>
          <w:b/>
          <w:szCs w:val="21"/>
        </w:rPr>
      </w:pPr>
      <w:r>
        <w:rPr>
          <w:rFonts w:hint="eastAsia" w:ascii="宋体" w:hAnsi="宋体" w:eastAsia="宋体" w:cs="宋体"/>
          <w:b/>
          <w:szCs w:val="21"/>
        </w:rPr>
        <w:t xml:space="preserve">22谈判响应文件的评审 </w:t>
      </w:r>
    </w:p>
    <w:p>
      <w:pPr>
        <w:tabs>
          <w:tab w:val="left" w:pos="525"/>
          <w:tab w:val="left" w:pos="570"/>
        </w:tabs>
        <w:spacing w:line="480" w:lineRule="exact"/>
        <w:ind w:firstLine="420" w:firstLineChars="200"/>
        <w:rPr>
          <w:rFonts w:ascii="宋体" w:hAnsi="Calibri" w:eastAsia="宋体" w:cs="宋体"/>
          <w:szCs w:val="21"/>
        </w:rPr>
      </w:pPr>
      <w:r>
        <w:rPr>
          <w:rFonts w:hint="eastAsia" w:ascii="宋体" w:hAnsi="宋体" w:eastAsia="宋体" w:cs="宋体"/>
          <w:szCs w:val="21"/>
        </w:rPr>
        <w:t>22.1评委会将审查谈判响应文件是否完整、总体编排是否有序、文件签署是否合格、有无计算上的错误等；</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22.2算术错误将按以下方法更正：若单价计算的结果与总价不一致，以单价为准修改总价；若文字表示的数值与数字表示的数值不一致，以文字表示的数值为准。若供应商不接受对其错误的更正，其投标将被拒绝；</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22.3允许修正谈判响应文件中不构成重大偏离的、微小的、非正规的、不一致或不规则的地方；</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22.4在对谈判响应文件进行详细评估之前，评委会将确定每一投标是否对谈判文件的要求做出了实质性的响应，而没有重大偏离。实质性响应的投标是指投标符合谈判文件的所有条款、条件和规定且没有重大偏离和保留。重大偏离和保留是指对谈判文件规定的范围、质量和性能产生重大或不可接受的偏差，或限制了招标代理机构、采购人的权力和供应商的义务的规定，而纠正这些偏离将影响到其它提交实质性响应投标的供应商的公平竞争地位；</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22.5评委会判断谈判响应文件的响应性仅基于谈判响应文件本身内容而不靠外部证据；</w:t>
      </w:r>
    </w:p>
    <w:p>
      <w:pPr>
        <w:tabs>
          <w:tab w:val="left" w:pos="570"/>
          <w:tab w:val="left" w:pos="720"/>
          <w:tab w:val="left" w:pos="1080"/>
        </w:tabs>
        <w:spacing w:line="480" w:lineRule="exact"/>
        <w:ind w:firstLine="420" w:firstLineChars="200"/>
        <w:rPr>
          <w:rFonts w:ascii="宋体" w:hAnsi="Calibri" w:eastAsia="宋体" w:cs="宋体"/>
          <w:szCs w:val="21"/>
        </w:rPr>
      </w:pPr>
      <w:r>
        <w:rPr>
          <w:rFonts w:hint="eastAsia" w:ascii="宋体" w:hAnsi="宋体" w:eastAsia="宋体" w:cs="宋体"/>
          <w:szCs w:val="21"/>
        </w:rPr>
        <w:t>22.6评委会将依据供应商提供的资格证明文件审查供应商的财务、技术和生产能力。如果确定供应商无资格履行合同，其投标将被拒绝；</w:t>
      </w:r>
    </w:p>
    <w:p>
      <w:pPr>
        <w:tabs>
          <w:tab w:val="left" w:pos="570"/>
          <w:tab w:val="left" w:pos="720"/>
          <w:tab w:val="left" w:pos="1080"/>
        </w:tabs>
        <w:spacing w:line="480" w:lineRule="exact"/>
        <w:ind w:firstLine="420" w:firstLineChars="200"/>
        <w:rPr>
          <w:rFonts w:ascii="宋体" w:hAnsi="Calibri" w:eastAsia="宋体" w:cs="宋体"/>
          <w:szCs w:val="21"/>
        </w:rPr>
      </w:pPr>
      <w:r>
        <w:rPr>
          <w:rFonts w:hint="eastAsia" w:ascii="宋体" w:hAnsi="宋体" w:eastAsia="宋体" w:cs="宋体"/>
          <w:szCs w:val="21"/>
        </w:rPr>
        <w:t>22.7如果投标实质性没有响应谈判文件的要求，其投标将被拒绝，供应商不得通过修正或撤消不合要求的偏离或保留从而使其投标成为实质性响应的投标。如发现有下列情形之一的，其投标将被废标：</w:t>
      </w:r>
    </w:p>
    <w:p>
      <w:pPr>
        <w:tabs>
          <w:tab w:val="left" w:pos="840"/>
        </w:tabs>
        <w:spacing w:line="480" w:lineRule="exact"/>
        <w:ind w:firstLine="420" w:firstLineChars="200"/>
        <w:rPr>
          <w:rFonts w:ascii="宋体" w:hAnsi="Calibri" w:eastAsia="宋体" w:cs="宋体"/>
          <w:szCs w:val="21"/>
        </w:rPr>
      </w:pPr>
      <w:r>
        <w:rPr>
          <w:rFonts w:hint="eastAsia" w:ascii="宋体" w:hAnsi="宋体" w:eastAsia="宋体" w:cs="宋体"/>
          <w:szCs w:val="21"/>
        </w:rPr>
        <w:t>（1）谈判响应文件没有法定代表人签字、或签字人没有法定代表人有效委托书的、没有被授权代表签字和加盖公章的；</w:t>
      </w:r>
    </w:p>
    <w:p>
      <w:pPr>
        <w:tabs>
          <w:tab w:val="left" w:pos="840"/>
        </w:tabs>
        <w:spacing w:line="480" w:lineRule="exact"/>
        <w:ind w:firstLine="420" w:firstLineChars="200"/>
        <w:rPr>
          <w:rFonts w:ascii="宋体" w:hAnsi="Calibri" w:eastAsia="宋体" w:cs="宋体"/>
          <w:szCs w:val="21"/>
        </w:rPr>
      </w:pPr>
      <w:r>
        <w:rPr>
          <w:rFonts w:hint="eastAsia" w:ascii="宋体" w:hAnsi="宋体" w:eastAsia="宋体" w:cs="宋体"/>
          <w:szCs w:val="21"/>
        </w:rPr>
        <w:t>（2）谈判响应文件附有采购人不能接受的条件的；</w:t>
      </w:r>
    </w:p>
    <w:p>
      <w:pPr>
        <w:tabs>
          <w:tab w:val="left" w:pos="840"/>
        </w:tabs>
        <w:spacing w:line="480" w:lineRule="exact"/>
        <w:ind w:firstLine="420" w:firstLineChars="200"/>
        <w:rPr>
          <w:rFonts w:ascii="宋体" w:hAnsi="Calibri" w:eastAsia="宋体" w:cs="宋体"/>
          <w:szCs w:val="21"/>
        </w:rPr>
      </w:pPr>
      <w:r>
        <w:rPr>
          <w:rFonts w:hint="eastAsia" w:ascii="宋体" w:hAnsi="宋体" w:eastAsia="宋体" w:cs="宋体"/>
          <w:szCs w:val="21"/>
        </w:rPr>
        <w:t>（3）不符合谈判文件中规定的其他实质性要求的。</w:t>
      </w:r>
    </w:p>
    <w:p>
      <w:pPr>
        <w:tabs>
          <w:tab w:val="left" w:pos="720"/>
        </w:tabs>
        <w:spacing w:line="480" w:lineRule="exact"/>
        <w:ind w:firstLine="420" w:firstLineChars="200"/>
        <w:rPr>
          <w:rFonts w:ascii="宋体" w:hAnsi="Calibri" w:eastAsia="宋体" w:cs="宋体"/>
          <w:b/>
          <w:szCs w:val="21"/>
        </w:rPr>
      </w:pPr>
      <w:r>
        <w:rPr>
          <w:rFonts w:hint="eastAsia" w:ascii="宋体" w:hAnsi="宋体" w:eastAsia="宋体" w:cs="宋体"/>
          <w:b/>
          <w:szCs w:val="21"/>
        </w:rPr>
        <w:t>23投标的评价</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23.1评委会只对已判定为实质性响应的谈判响应文件进行评价和比较；</w:t>
      </w:r>
    </w:p>
    <w:p>
      <w:pPr>
        <w:tabs>
          <w:tab w:val="left" w:pos="570"/>
          <w:tab w:val="left" w:pos="720"/>
        </w:tabs>
        <w:spacing w:line="480" w:lineRule="exact"/>
        <w:ind w:firstLine="420" w:firstLineChars="200"/>
        <w:rPr>
          <w:rFonts w:ascii="宋体" w:hAnsi="Calibri" w:eastAsia="宋体" w:cs="宋体"/>
          <w:szCs w:val="21"/>
        </w:rPr>
      </w:pPr>
      <w:r>
        <w:rPr>
          <w:rFonts w:hint="eastAsia" w:ascii="宋体" w:hAnsi="宋体" w:eastAsia="宋体" w:cs="宋体"/>
          <w:szCs w:val="21"/>
        </w:rPr>
        <w:t>23.2根据第23.3条的规定，在“附件：评标办法”中列出评标因素，规定量化方法，并以此作为计算评标价的依据。</w:t>
      </w:r>
    </w:p>
    <w:p>
      <w:pPr>
        <w:tabs>
          <w:tab w:val="left" w:pos="720"/>
        </w:tabs>
        <w:spacing w:line="480" w:lineRule="exact"/>
        <w:ind w:firstLine="420" w:firstLineChars="200"/>
        <w:rPr>
          <w:rFonts w:ascii="宋体" w:hAnsi="Calibri" w:eastAsia="宋体" w:cs="宋体"/>
          <w:b/>
          <w:szCs w:val="21"/>
        </w:rPr>
      </w:pPr>
      <w:r>
        <w:rPr>
          <w:rFonts w:hint="eastAsia" w:ascii="宋体" w:hAnsi="宋体" w:eastAsia="宋体" w:cs="宋体"/>
          <w:b/>
          <w:szCs w:val="21"/>
        </w:rPr>
        <w:t>24保密及其它注意事项</w:t>
      </w:r>
    </w:p>
    <w:p>
      <w:pPr>
        <w:pStyle w:val="15"/>
        <w:tabs>
          <w:tab w:val="left" w:pos="570"/>
          <w:tab w:val="left" w:pos="720"/>
        </w:tabs>
        <w:spacing w:line="480" w:lineRule="exact"/>
        <w:ind w:left="0" w:firstLine="420" w:firstLineChars="200"/>
        <w:rPr>
          <w:rFonts w:ascii="宋体" w:hAnsi="宋体" w:eastAsia="宋体" w:cs="宋体"/>
          <w:sz w:val="21"/>
          <w:szCs w:val="21"/>
        </w:rPr>
      </w:pPr>
      <w:r>
        <w:rPr>
          <w:rFonts w:hint="eastAsia" w:ascii="宋体" w:hAnsi="宋体" w:eastAsia="宋体" w:cs="宋体"/>
          <w:sz w:val="21"/>
          <w:szCs w:val="21"/>
        </w:rPr>
        <w:t>24.1评标是招标工作的重要环节，评标工作在评委会内独立进行；</w:t>
      </w:r>
    </w:p>
    <w:p>
      <w:pPr>
        <w:pStyle w:val="15"/>
        <w:tabs>
          <w:tab w:val="left" w:pos="570"/>
          <w:tab w:val="left" w:pos="720"/>
        </w:tabs>
        <w:spacing w:line="480" w:lineRule="exact"/>
        <w:ind w:left="0" w:firstLine="420" w:firstLineChars="200"/>
        <w:rPr>
          <w:rFonts w:ascii="宋体" w:hAnsi="宋体" w:eastAsia="宋体" w:cs="宋体"/>
          <w:sz w:val="21"/>
          <w:szCs w:val="21"/>
        </w:rPr>
      </w:pPr>
      <w:r>
        <w:rPr>
          <w:rFonts w:hint="eastAsia" w:ascii="宋体" w:hAnsi="宋体" w:eastAsia="宋体" w:cs="宋体"/>
          <w:sz w:val="21"/>
          <w:szCs w:val="21"/>
        </w:rPr>
        <w:t>24.2评委会将遵照规定的评标方法，公正、平等地对待所有供应商；</w:t>
      </w:r>
    </w:p>
    <w:p>
      <w:pPr>
        <w:pStyle w:val="15"/>
        <w:tabs>
          <w:tab w:val="left" w:pos="570"/>
          <w:tab w:val="left" w:pos="720"/>
        </w:tabs>
        <w:spacing w:line="480" w:lineRule="exact"/>
        <w:ind w:left="0" w:firstLine="420" w:firstLineChars="200"/>
        <w:rPr>
          <w:rFonts w:ascii="宋体" w:hAnsi="宋体" w:eastAsia="宋体" w:cs="宋体"/>
          <w:sz w:val="21"/>
          <w:szCs w:val="21"/>
        </w:rPr>
      </w:pPr>
      <w:r>
        <w:rPr>
          <w:rFonts w:hint="eastAsia" w:ascii="宋体" w:hAnsi="宋体" w:eastAsia="宋体" w:cs="宋体"/>
          <w:sz w:val="21"/>
          <w:szCs w:val="21"/>
        </w:rPr>
        <w:t>24.3在开标、评标期间，供应商不得向评委询问评标情况，不得进行旨在影响评标结果的活动。否则其投标可能被拒绝；</w:t>
      </w:r>
    </w:p>
    <w:p>
      <w:pPr>
        <w:pStyle w:val="15"/>
        <w:tabs>
          <w:tab w:val="left" w:pos="570"/>
          <w:tab w:val="left" w:pos="720"/>
        </w:tabs>
        <w:spacing w:line="480" w:lineRule="exact"/>
        <w:ind w:left="0" w:firstLine="420" w:firstLineChars="200"/>
        <w:rPr>
          <w:rFonts w:ascii="宋体" w:hAnsi="宋体" w:eastAsia="宋体" w:cs="宋体"/>
          <w:sz w:val="21"/>
          <w:szCs w:val="21"/>
        </w:rPr>
      </w:pPr>
      <w:r>
        <w:rPr>
          <w:rFonts w:hint="eastAsia" w:ascii="宋体" w:hAnsi="宋体" w:eastAsia="宋体" w:cs="宋体"/>
          <w:sz w:val="21"/>
          <w:szCs w:val="21"/>
        </w:rPr>
        <w:t>24.4为保证评标的公正性，开标后直至授予供应商合同，评委不得与供应商私下交换意见；</w:t>
      </w:r>
    </w:p>
    <w:p>
      <w:pPr>
        <w:pStyle w:val="15"/>
        <w:tabs>
          <w:tab w:val="left" w:pos="570"/>
          <w:tab w:val="left" w:pos="720"/>
        </w:tabs>
        <w:spacing w:line="480" w:lineRule="exact"/>
        <w:ind w:left="0" w:firstLine="420" w:firstLineChars="200"/>
        <w:rPr>
          <w:rFonts w:ascii="宋体" w:hAnsi="宋体" w:eastAsia="宋体" w:cs="宋体"/>
          <w:sz w:val="21"/>
          <w:szCs w:val="21"/>
        </w:rPr>
      </w:pPr>
      <w:r>
        <w:rPr>
          <w:rFonts w:hint="eastAsia" w:ascii="宋体" w:hAnsi="宋体" w:eastAsia="宋体" w:cs="宋体"/>
          <w:sz w:val="21"/>
          <w:szCs w:val="21"/>
        </w:rPr>
        <w:t>24.5在评标工作结束后，凡与评标情况有接触的任何人不得擅自将评标情况扩散出评标人员之外；</w:t>
      </w:r>
    </w:p>
    <w:p>
      <w:pPr>
        <w:pStyle w:val="15"/>
        <w:tabs>
          <w:tab w:val="left" w:pos="570"/>
          <w:tab w:val="left" w:pos="720"/>
        </w:tabs>
        <w:spacing w:line="480" w:lineRule="exact"/>
        <w:ind w:left="0" w:firstLine="420" w:firstLineChars="200"/>
        <w:rPr>
          <w:rFonts w:ascii="宋体" w:hAnsi="宋体" w:eastAsia="宋体" w:cs="宋体"/>
          <w:sz w:val="21"/>
          <w:szCs w:val="21"/>
        </w:rPr>
      </w:pPr>
      <w:r>
        <w:rPr>
          <w:rFonts w:hint="eastAsia" w:ascii="宋体" w:hAnsi="宋体" w:eastAsia="宋体" w:cs="宋体"/>
          <w:sz w:val="21"/>
          <w:szCs w:val="21"/>
        </w:rPr>
        <w:t>24.6评委会和招标代理机构不退还谈判响应文件。</w:t>
      </w:r>
    </w:p>
    <w:p>
      <w:pPr>
        <w:pStyle w:val="3"/>
        <w:widowControl/>
        <w:jc w:val="center"/>
        <w:rPr>
          <w:sz w:val="21"/>
          <w:szCs w:val="21"/>
        </w:rPr>
      </w:pPr>
      <w:bookmarkStart w:id="31" w:name="_Toc16508422"/>
      <w:bookmarkStart w:id="32" w:name="_Toc31648101"/>
      <w:bookmarkStart w:id="33" w:name="_Toc9010"/>
      <w:r>
        <w:rPr>
          <w:rFonts w:hint="eastAsia" w:cs="黑体"/>
          <w:sz w:val="21"/>
          <w:szCs w:val="21"/>
        </w:rPr>
        <w:t>六、授</w:t>
      </w:r>
      <w:bookmarkStart w:id="34" w:name="_Toc87235884"/>
      <w:r>
        <w:rPr>
          <w:rFonts w:hint="eastAsia" w:cs="黑体"/>
          <w:sz w:val="21"/>
          <w:szCs w:val="21"/>
        </w:rPr>
        <w:t>予合同</w:t>
      </w:r>
      <w:bookmarkEnd w:id="31"/>
      <w:bookmarkEnd w:id="32"/>
      <w:bookmarkEnd w:id="33"/>
      <w:bookmarkEnd w:id="34"/>
    </w:p>
    <w:p>
      <w:pPr>
        <w:tabs>
          <w:tab w:val="left" w:pos="720"/>
        </w:tabs>
        <w:spacing w:line="460" w:lineRule="exact"/>
        <w:ind w:firstLine="420" w:firstLineChars="200"/>
        <w:rPr>
          <w:rFonts w:ascii="宋体" w:hAnsi="Calibri" w:eastAsia="宋体" w:cs="宋体"/>
          <w:b/>
          <w:szCs w:val="21"/>
        </w:rPr>
      </w:pPr>
      <w:bookmarkStart w:id="35" w:name="_Hlt130886520"/>
      <w:bookmarkEnd w:id="35"/>
      <w:bookmarkStart w:id="36" w:name="_Hlt130886525"/>
      <w:bookmarkEnd w:id="36"/>
      <w:r>
        <w:rPr>
          <w:rFonts w:hint="eastAsia" w:ascii="宋体" w:hAnsi="宋体" w:eastAsia="宋体" w:cs="宋体"/>
          <w:b/>
          <w:szCs w:val="21"/>
        </w:rPr>
        <w:t>25合同授予标准</w:t>
      </w:r>
    </w:p>
    <w:p>
      <w:pPr>
        <w:tabs>
          <w:tab w:val="left" w:pos="570"/>
          <w:tab w:val="left" w:pos="720"/>
        </w:tabs>
        <w:spacing w:line="460" w:lineRule="exact"/>
        <w:ind w:firstLine="420" w:firstLineChars="200"/>
        <w:rPr>
          <w:rFonts w:ascii="宋体" w:hAnsi="Calibri" w:eastAsia="宋体" w:cs="宋体"/>
          <w:szCs w:val="21"/>
        </w:rPr>
      </w:pPr>
      <w:r>
        <w:rPr>
          <w:rFonts w:hint="eastAsia" w:ascii="宋体" w:hAnsi="宋体" w:eastAsia="宋体" w:cs="宋体"/>
          <w:szCs w:val="21"/>
        </w:rPr>
        <w:t>25.1采购人依据评委会推荐的中标候选人所确定的中标人。</w:t>
      </w:r>
    </w:p>
    <w:p>
      <w:pPr>
        <w:tabs>
          <w:tab w:val="left" w:pos="720"/>
        </w:tabs>
        <w:spacing w:line="460" w:lineRule="exact"/>
        <w:ind w:firstLine="420" w:firstLineChars="200"/>
        <w:rPr>
          <w:rFonts w:ascii="宋体" w:hAnsi="Calibri" w:eastAsia="宋体" w:cs="宋体"/>
          <w:b/>
          <w:szCs w:val="21"/>
        </w:rPr>
      </w:pPr>
      <w:r>
        <w:rPr>
          <w:rFonts w:hint="eastAsia" w:ascii="宋体" w:hAnsi="宋体" w:eastAsia="宋体" w:cs="宋体"/>
          <w:b/>
          <w:szCs w:val="21"/>
        </w:rPr>
        <w:t>26评标结果的公示</w:t>
      </w:r>
    </w:p>
    <w:p>
      <w:pPr>
        <w:pStyle w:val="15"/>
        <w:tabs>
          <w:tab w:val="left" w:pos="570"/>
          <w:tab w:val="left" w:pos="720"/>
        </w:tabs>
        <w:spacing w:line="460" w:lineRule="exact"/>
        <w:ind w:left="0" w:firstLine="420" w:firstLineChars="200"/>
        <w:jc w:val="left"/>
        <w:rPr>
          <w:rFonts w:ascii="宋体" w:hAnsi="宋体" w:eastAsia="宋体" w:cs="宋体"/>
          <w:sz w:val="21"/>
          <w:szCs w:val="21"/>
        </w:rPr>
      </w:pPr>
      <w:r>
        <w:rPr>
          <w:rFonts w:hint="eastAsia" w:ascii="宋体" w:hAnsi="宋体" w:eastAsia="宋体" w:cs="宋体"/>
          <w:sz w:val="21"/>
          <w:szCs w:val="21"/>
        </w:rPr>
        <w:t>26.1评标结束后，评标结果将在《河南省政府采购网》、《开封市公共资源交易信息网》上公示，公示期为1个工作日；</w:t>
      </w:r>
    </w:p>
    <w:p>
      <w:pPr>
        <w:tabs>
          <w:tab w:val="left" w:pos="720"/>
        </w:tabs>
        <w:spacing w:line="460" w:lineRule="exact"/>
        <w:ind w:firstLine="420" w:firstLineChars="200"/>
        <w:rPr>
          <w:rFonts w:ascii="宋体" w:hAnsi="Calibri" w:eastAsia="宋体" w:cs="宋体"/>
          <w:b/>
          <w:szCs w:val="21"/>
        </w:rPr>
      </w:pPr>
      <w:r>
        <w:rPr>
          <w:rFonts w:hint="eastAsia" w:ascii="宋体" w:hAnsi="宋体" w:eastAsia="宋体" w:cs="宋体"/>
          <w:b/>
          <w:szCs w:val="21"/>
        </w:rPr>
        <w:t>27接受和拒绝任何或所有投标的权利</w:t>
      </w:r>
    </w:p>
    <w:p>
      <w:pPr>
        <w:spacing w:line="460" w:lineRule="exact"/>
        <w:ind w:firstLine="420" w:firstLineChars="200"/>
        <w:rPr>
          <w:rFonts w:ascii="宋体" w:hAnsi="Calibri" w:eastAsia="宋体" w:cs="宋体"/>
          <w:szCs w:val="21"/>
        </w:rPr>
      </w:pPr>
      <w:r>
        <w:rPr>
          <w:rFonts w:hint="eastAsia" w:ascii="宋体" w:hAnsi="宋体" w:eastAsia="宋体" w:cs="宋体"/>
          <w:szCs w:val="21"/>
        </w:rPr>
        <w:t>27.1如出现重大变故，采购任务取消情况，招标代理机构和采购人保留因此原因在授标之前任何时候接受或拒绝任何投标、以及宣布招标无效或拒绝所有投标的权力，对受影响的供应商不承担任何责任。</w:t>
      </w:r>
    </w:p>
    <w:p>
      <w:pPr>
        <w:spacing w:line="460" w:lineRule="exact"/>
        <w:ind w:firstLine="420" w:firstLineChars="200"/>
        <w:rPr>
          <w:rFonts w:ascii="宋体" w:hAnsi="Calibri" w:eastAsia="宋体" w:cs="宋体"/>
          <w:b/>
          <w:szCs w:val="21"/>
        </w:rPr>
      </w:pPr>
      <w:r>
        <w:rPr>
          <w:rFonts w:hint="eastAsia" w:ascii="宋体" w:hAnsi="宋体" w:eastAsia="宋体" w:cs="宋体"/>
          <w:b/>
          <w:szCs w:val="21"/>
        </w:rPr>
        <w:t>28中标通知书</w:t>
      </w:r>
    </w:p>
    <w:p>
      <w:pPr>
        <w:spacing w:line="460" w:lineRule="exact"/>
        <w:ind w:firstLine="420" w:firstLineChars="200"/>
        <w:rPr>
          <w:rFonts w:ascii="宋体" w:hAnsi="Calibri" w:eastAsia="宋体" w:cs="宋体"/>
          <w:szCs w:val="21"/>
        </w:rPr>
      </w:pPr>
      <w:r>
        <w:rPr>
          <w:rFonts w:hint="eastAsia" w:ascii="宋体" w:hAnsi="宋体" w:eastAsia="宋体" w:cs="宋体"/>
          <w:szCs w:val="21"/>
        </w:rPr>
        <w:t>28.1中标公示结束后，在投标有效期满之前，招标代理机构将以书面形式通知中标人中标；</w:t>
      </w:r>
    </w:p>
    <w:p>
      <w:pPr>
        <w:spacing w:line="460" w:lineRule="exact"/>
        <w:ind w:firstLine="420" w:firstLineChars="200"/>
        <w:rPr>
          <w:rFonts w:ascii="宋体" w:hAnsi="Calibri" w:eastAsia="宋体" w:cs="宋体"/>
          <w:szCs w:val="21"/>
        </w:rPr>
      </w:pPr>
      <w:r>
        <w:rPr>
          <w:rFonts w:hint="eastAsia" w:ascii="宋体" w:hAnsi="宋体" w:eastAsia="宋体" w:cs="宋体"/>
          <w:szCs w:val="21"/>
        </w:rPr>
        <w:t>28.2中标通知书将作为进行合同谈判和签订合同的依据。</w:t>
      </w:r>
    </w:p>
    <w:p>
      <w:pPr>
        <w:spacing w:line="460" w:lineRule="exact"/>
        <w:ind w:firstLine="420" w:firstLineChars="200"/>
        <w:rPr>
          <w:rFonts w:ascii="宋体" w:hAnsi="Calibri" w:eastAsia="宋体" w:cs="宋体"/>
          <w:b/>
          <w:szCs w:val="21"/>
        </w:rPr>
      </w:pPr>
      <w:r>
        <w:rPr>
          <w:rFonts w:hint="eastAsia" w:ascii="宋体" w:hAnsi="宋体" w:eastAsia="宋体" w:cs="宋体"/>
          <w:b/>
          <w:szCs w:val="21"/>
        </w:rPr>
        <w:t>29签订合同</w:t>
      </w:r>
    </w:p>
    <w:p>
      <w:pPr>
        <w:tabs>
          <w:tab w:val="left" w:pos="570"/>
          <w:tab w:val="left" w:pos="720"/>
        </w:tabs>
        <w:spacing w:line="460" w:lineRule="exact"/>
        <w:ind w:firstLine="420" w:firstLineChars="200"/>
        <w:rPr>
          <w:rFonts w:ascii="宋体" w:hAnsi="Calibri" w:eastAsia="宋体" w:cs="宋体"/>
          <w:szCs w:val="21"/>
        </w:rPr>
      </w:pPr>
      <w:r>
        <w:rPr>
          <w:rFonts w:hint="eastAsia" w:ascii="宋体" w:hAnsi="宋体" w:eastAsia="宋体" w:cs="宋体"/>
          <w:szCs w:val="21"/>
        </w:rPr>
        <w:t>29.1供货人应按中标通知书指定的时间、地点，与采购人进行合同谈判；</w:t>
      </w:r>
    </w:p>
    <w:p>
      <w:pPr>
        <w:tabs>
          <w:tab w:val="left" w:pos="570"/>
          <w:tab w:val="left" w:pos="720"/>
        </w:tabs>
        <w:spacing w:line="460" w:lineRule="exact"/>
        <w:ind w:firstLine="420" w:firstLineChars="200"/>
        <w:rPr>
          <w:rFonts w:ascii="宋体" w:hAnsi="Calibri" w:eastAsia="宋体" w:cs="宋体"/>
          <w:szCs w:val="21"/>
        </w:rPr>
      </w:pPr>
      <w:r>
        <w:rPr>
          <w:rFonts w:hint="eastAsia" w:ascii="宋体" w:hAnsi="宋体" w:eastAsia="宋体" w:cs="宋体"/>
          <w:szCs w:val="21"/>
        </w:rPr>
        <w:t>29.2谈判文件、中标人的谈判响应文件和澄清文件等，均应作为签约的合同文本的基础；</w:t>
      </w:r>
    </w:p>
    <w:p>
      <w:pPr>
        <w:tabs>
          <w:tab w:val="left" w:pos="570"/>
          <w:tab w:val="left" w:pos="720"/>
        </w:tabs>
        <w:spacing w:line="460" w:lineRule="exact"/>
        <w:ind w:firstLine="420" w:firstLineChars="200"/>
        <w:rPr>
          <w:rFonts w:ascii="宋体" w:hAnsi="Calibri" w:eastAsia="宋体" w:cs="宋体"/>
          <w:szCs w:val="21"/>
        </w:rPr>
      </w:pPr>
      <w:r>
        <w:rPr>
          <w:rFonts w:hint="eastAsia" w:ascii="宋体" w:hAnsi="宋体" w:eastAsia="宋体" w:cs="宋体"/>
          <w:szCs w:val="21"/>
        </w:rPr>
        <w:t>29.3如中标人不按约定谈签合同，采购人将报请监督管理部门取消其中标决定。采购人可在监督管理部门同意后在候选中标单位中重新选定中标单位或重新招标</w:t>
      </w:r>
      <w:bookmarkEnd w:id="26"/>
      <w:bookmarkStart w:id="37" w:name="_Toc433117086"/>
      <w:bookmarkStart w:id="38" w:name="_Toc11637"/>
      <w:bookmarkStart w:id="39" w:name="_Toc57004530"/>
      <w:bookmarkStart w:id="40" w:name="_Toc27964701"/>
      <w:bookmarkStart w:id="41" w:name="_Toc39117004"/>
      <w:bookmarkStart w:id="42" w:name="_Toc39115625"/>
      <w:bookmarkStart w:id="43" w:name="_Toc39115052"/>
      <w:bookmarkStart w:id="44" w:name="_Toc39115990"/>
      <w:bookmarkStart w:id="45" w:name="_Toc39118354"/>
    </w:p>
    <w:p>
      <w:pPr>
        <w:pStyle w:val="2"/>
        <w:spacing w:before="120" w:after="120" w:line="520" w:lineRule="exact"/>
        <w:ind w:left="0" w:firstLine="3344" w:firstLineChars="1045"/>
        <w:rPr>
          <w:rFonts w:hint="default" w:ascii="宋体" w:eastAsia="宋体" w:cs="宋体"/>
          <w:b/>
        </w:rPr>
      </w:pPr>
    </w:p>
    <w:p>
      <w:pPr>
        <w:pStyle w:val="2"/>
        <w:spacing w:before="120" w:after="120" w:line="520" w:lineRule="exact"/>
        <w:ind w:left="0" w:firstLine="3344" w:firstLineChars="1045"/>
        <w:rPr>
          <w:rFonts w:hint="default" w:ascii="宋体" w:eastAsia="宋体" w:cs="宋体"/>
          <w:b/>
        </w:rPr>
      </w:pPr>
    </w:p>
    <w:p>
      <w:pPr>
        <w:pStyle w:val="2"/>
        <w:spacing w:before="120" w:after="120" w:line="520" w:lineRule="exact"/>
        <w:ind w:left="0" w:firstLine="3344" w:firstLineChars="1045"/>
        <w:rPr>
          <w:rFonts w:hint="default" w:ascii="宋体" w:eastAsia="宋体" w:cs="宋体"/>
          <w:b/>
        </w:rPr>
      </w:pPr>
    </w:p>
    <w:p>
      <w:pPr>
        <w:pStyle w:val="2"/>
        <w:spacing w:before="120" w:after="120" w:line="520" w:lineRule="exact"/>
        <w:ind w:left="0" w:firstLine="3344" w:firstLineChars="1045"/>
        <w:rPr>
          <w:rFonts w:hint="default" w:ascii="宋体" w:eastAsia="宋体" w:cs="宋体"/>
          <w:b/>
        </w:rPr>
      </w:pPr>
    </w:p>
    <w:p/>
    <w:p/>
    <w:p/>
    <w:p/>
    <w:p>
      <w:pPr>
        <w:pStyle w:val="2"/>
        <w:spacing w:before="120" w:after="120" w:line="520" w:lineRule="exact"/>
        <w:ind w:left="0" w:firstLine="3344" w:firstLineChars="1045"/>
        <w:rPr>
          <w:rFonts w:hint="default" w:ascii="宋体" w:eastAsia="宋体" w:cs="宋体"/>
          <w:b/>
        </w:rPr>
      </w:pPr>
      <w:bookmarkStart w:id="46" w:name="_Toc31648102"/>
      <w:r>
        <w:rPr>
          <w:rFonts w:ascii="宋体" w:eastAsia="宋体" w:cs="宋体"/>
          <w:b/>
        </w:rPr>
        <w:t>第三章 评标办法</w:t>
      </w:r>
      <w:bookmarkEnd w:id="37"/>
      <w:bookmarkEnd w:id="38"/>
      <w:bookmarkEnd w:id="46"/>
    </w:p>
    <w:p>
      <w:pPr>
        <w:spacing w:line="480" w:lineRule="auto"/>
        <w:rPr>
          <w:rFonts w:ascii="宋体" w:hAnsi="Calibri" w:eastAsia="宋体" w:cs="宋体"/>
          <w:b/>
          <w:szCs w:val="21"/>
        </w:rPr>
      </w:pPr>
      <w:bookmarkStart w:id="47" w:name="_Toc286647858"/>
      <w:bookmarkStart w:id="48" w:name="_Toc276720113"/>
      <w:bookmarkStart w:id="49" w:name="_Toc275959297"/>
      <w:r>
        <w:rPr>
          <w:rFonts w:hint="eastAsia" w:ascii="宋体" w:hAnsi="宋体" w:eastAsia="宋体" w:cs="宋体"/>
          <w:b/>
          <w:szCs w:val="21"/>
        </w:rPr>
        <w:t>1、评标规则</w:t>
      </w:r>
      <w:bookmarkEnd w:id="47"/>
      <w:bookmarkEnd w:id="48"/>
      <w:bookmarkEnd w:id="49"/>
    </w:p>
    <w:p>
      <w:pPr>
        <w:pStyle w:val="29"/>
        <w:rPr>
          <w:rFonts w:ascii="宋体" w:hAnsi="宋体" w:eastAsia="宋体" w:cs="宋体"/>
          <w:sz w:val="21"/>
          <w:szCs w:val="21"/>
        </w:rPr>
      </w:pPr>
      <w:r>
        <w:rPr>
          <w:rFonts w:hint="eastAsia" w:ascii="宋体" w:hAnsi="宋体" w:eastAsia="宋体" w:cs="宋体"/>
          <w:sz w:val="21"/>
          <w:szCs w:val="21"/>
        </w:rPr>
        <w:t>本项目评标办法采取最低价法。</w:t>
      </w:r>
    </w:p>
    <w:p>
      <w:pPr>
        <w:spacing w:line="480" w:lineRule="auto"/>
        <w:rPr>
          <w:rFonts w:ascii="宋体" w:hAnsi="Calibri" w:eastAsia="宋体" w:cs="宋体"/>
          <w:b/>
          <w:szCs w:val="21"/>
        </w:rPr>
      </w:pPr>
      <w:bookmarkStart w:id="50" w:name="_Toc286647859"/>
      <w:bookmarkStart w:id="51" w:name="_Toc275959298"/>
      <w:bookmarkStart w:id="52" w:name="_Toc276720114"/>
      <w:r>
        <w:rPr>
          <w:rFonts w:hint="eastAsia" w:ascii="宋体" w:hAnsi="宋体" w:eastAsia="宋体" w:cs="宋体"/>
          <w:b/>
          <w:szCs w:val="21"/>
        </w:rPr>
        <w:t>2、评标办法前附表</w:t>
      </w:r>
    </w:p>
    <w:tbl>
      <w:tblPr>
        <w:tblStyle w:val="21"/>
        <w:tblW w:w="1010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74"/>
        <w:gridCol w:w="51"/>
        <w:gridCol w:w="487"/>
        <w:gridCol w:w="583"/>
        <w:gridCol w:w="1775"/>
        <w:gridCol w:w="58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1912" w:type="dxa"/>
            <w:gridSpan w:val="3"/>
            <w:tcBorders>
              <w:top w:val="single" w:color="auto" w:sz="12" w:space="0"/>
              <w:left w:val="single" w:color="auto" w:sz="12" w:space="0"/>
              <w:bottom w:val="single" w:color="auto" w:sz="6" w:space="0"/>
              <w:right w:val="single" w:color="auto" w:sz="4" w:space="0"/>
            </w:tcBorders>
            <w:shd w:val="clear" w:color="auto" w:fill="auto"/>
            <w:vAlign w:val="center"/>
          </w:tcPr>
          <w:p>
            <w:pPr>
              <w:spacing w:line="500" w:lineRule="exact"/>
              <w:jc w:val="center"/>
              <w:rPr>
                <w:rFonts w:ascii="宋体" w:hAnsi="Calibri" w:eastAsia="宋体" w:cs="宋体"/>
                <w:b/>
                <w:szCs w:val="21"/>
              </w:rPr>
            </w:pPr>
            <w:r>
              <w:rPr>
                <w:rFonts w:hint="eastAsia" w:ascii="宋体" w:hAnsi="宋体" w:eastAsia="宋体" w:cs="宋体"/>
                <w:b/>
                <w:szCs w:val="21"/>
              </w:rPr>
              <w:t>条款号</w:t>
            </w:r>
          </w:p>
        </w:tc>
        <w:tc>
          <w:tcPr>
            <w:tcW w:w="2358" w:type="dxa"/>
            <w:gridSpan w:val="2"/>
            <w:tcBorders>
              <w:top w:val="single" w:color="auto" w:sz="12" w:space="0"/>
              <w:left w:val="single" w:color="auto" w:sz="4" w:space="0"/>
              <w:bottom w:val="single" w:color="auto" w:sz="6" w:space="0"/>
              <w:right w:val="single" w:color="auto" w:sz="6" w:space="0"/>
            </w:tcBorders>
            <w:shd w:val="clear" w:color="auto" w:fill="auto"/>
            <w:vAlign w:val="center"/>
          </w:tcPr>
          <w:p>
            <w:pPr>
              <w:spacing w:line="500" w:lineRule="exact"/>
              <w:jc w:val="center"/>
              <w:rPr>
                <w:rFonts w:ascii="宋体" w:hAnsi="Calibri" w:eastAsia="宋体" w:cs="宋体"/>
                <w:b/>
                <w:szCs w:val="21"/>
              </w:rPr>
            </w:pPr>
            <w:r>
              <w:rPr>
                <w:rFonts w:hint="eastAsia" w:ascii="宋体" w:hAnsi="宋体" w:eastAsia="宋体" w:cs="宋体"/>
                <w:b/>
                <w:szCs w:val="21"/>
              </w:rPr>
              <w:t>评审内容</w:t>
            </w:r>
          </w:p>
        </w:tc>
        <w:tc>
          <w:tcPr>
            <w:tcW w:w="5837" w:type="dxa"/>
            <w:tcBorders>
              <w:top w:val="single" w:color="auto" w:sz="12" w:space="0"/>
              <w:left w:val="single" w:color="auto" w:sz="6" w:space="0"/>
              <w:bottom w:val="single" w:color="auto" w:sz="6" w:space="0"/>
              <w:right w:val="single" w:color="auto" w:sz="12" w:space="0"/>
            </w:tcBorders>
            <w:shd w:val="clear" w:color="auto" w:fill="auto"/>
            <w:vAlign w:val="center"/>
          </w:tcPr>
          <w:p>
            <w:pPr>
              <w:spacing w:line="500" w:lineRule="exact"/>
              <w:jc w:val="center"/>
              <w:rPr>
                <w:rFonts w:ascii="宋体" w:hAnsi="Calibri" w:eastAsia="宋体" w:cs="宋体"/>
                <w:b/>
                <w:szCs w:val="21"/>
              </w:rPr>
            </w:pPr>
            <w:r>
              <w:rPr>
                <w:rFonts w:hint="eastAsia" w:ascii="宋体" w:hAnsi="宋体" w:eastAsia="宋体" w:cs="宋体"/>
                <w:b/>
                <w:szCs w:val="21"/>
              </w:rPr>
              <w:t>评审标准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2" w:hRule="atLeast"/>
          <w:jc w:val="center"/>
        </w:trPr>
        <w:tc>
          <w:tcPr>
            <w:tcW w:w="1425" w:type="dxa"/>
            <w:gridSpan w:val="2"/>
            <w:vMerge w:val="restart"/>
            <w:tcBorders>
              <w:top w:val="single" w:color="auto" w:sz="4" w:space="0"/>
              <w:left w:val="single" w:color="auto" w:sz="12" w:space="0"/>
              <w:bottom w:val="single" w:color="auto" w:sz="12" w:space="0"/>
              <w:right w:val="single" w:color="auto" w:sz="6" w:space="0"/>
            </w:tcBorders>
            <w:shd w:val="clear" w:color="auto" w:fill="auto"/>
            <w:vAlign w:val="center"/>
          </w:tcPr>
          <w:p>
            <w:pPr>
              <w:spacing w:line="500" w:lineRule="exact"/>
              <w:jc w:val="center"/>
              <w:rPr>
                <w:rFonts w:ascii="宋体" w:hAnsi="Calibri" w:eastAsia="宋体" w:cs="宋体"/>
                <w:kern w:val="0"/>
                <w:szCs w:val="21"/>
              </w:rPr>
            </w:pPr>
            <w:r>
              <w:rPr>
                <w:rFonts w:hint="eastAsia" w:ascii="宋体" w:hAnsi="宋体" w:eastAsia="宋体" w:cs="宋体"/>
                <w:kern w:val="0"/>
                <w:szCs w:val="21"/>
              </w:rPr>
              <w:t>2.1.1形式评审</w:t>
            </w:r>
          </w:p>
          <w:p>
            <w:pPr>
              <w:spacing w:line="500" w:lineRule="exact"/>
              <w:jc w:val="center"/>
              <w:rPr>
                <w:rFonts w:ascii="宋体" w:hAnsi="Calibri" w:eastAsia="宋体" w:cs="宋体"/>
                <w:kern w:val="0"/>
                <w:szCs w:val="21"/>
              </w:rPr>
            </w:pPr>
            <w:r>
              <w:rPr>
                <w:rFonts w:hint="eastAsia" w:ascii="宋体" w:hAnsi="宋体" w:eastAsia="宋体" w:cs="宋体"/>
                <w:kern w:val="0"/>
                <w:szCs w:val="21"/>
              </w:rPr>
              <w:t>标准</w:t>
            </w:r>
          </w:p>
        </w:tc>
        <w:tc>
          <w:tcPr>
            <w:tcW w:w="487" w:type="dxa"/>
            <w:tcBorders>
              <w:top w:val="single" w:color="auto" w:sz="4" w:space="0"/>
              <w:left w:val="single" w:color="auto" w:sz="6" w:space="0"/>
              <w:bottom w:val="single" w:color="auto" w:sz="6" w:space="0"/>
              <w:right w:val="single" w:color="auto" w:sz="4" w:space="0"/>
            </w:tcBorders>
            <w:shd w:val="clear" w:color="auto" w:fill="auto"/>
            <w:vAlign w:val="center"/>
          </w:tcPr>
          <w:p>
            <w:pPr>
              <w:spacing w:line="500" w:lineRule="exact"/>
              <w:jc w:val="center"/>
              <w:rPr>
                <w:rFonts w:ascii="宋体" w:hAnsi="宋体" w:eastAsia="宋体" w:cs="宋体"/>
                <w:kern w:val="0"/>
                <w:szCs w:val="21"/>
              </w:rPr>
            </w:pPr>
            <w:r>
              <w:rPr>
                <w:rFonts w:hint="eastAsia" w:ascii="宋体" w:hAnsi="宋体" w:eastAsia="宋体" w:cs="宋体"/>
                <w:kern w:val="0"/>
                <w:szCs w:val="21"/>
              </w:rPr>
              <w:t>1</w:t>
            </w:r>
          </w:p>
        </w:tc>
        <w:tc>
          <w:tcPr>
            <w:tcW w:w="2358" w:type="dxa"/>
            <w:gridSpan w:val="2"/>
            <w:tcBorders>
              <w:top w:val="single" w:color="auto" w:sz="4" w:space="0"/>
              <w:left w:val="single" w:color="auto" w:sz="4" w:space="0"/>
              <w:bottom w:val="single" w:color="auto" w:sz="6" w:space="0"/>
              <w:right w:val="single" w:color="auto" w:sz="6" w:space="0"/>
            </w:tcBorders>
            <w:shd w:val="clear" w:color="auto" w:fill="auto"/>
            <w:vAlign w:val="center"/>
          </w:tcPr>
          <w:p>
            <w:pPr>
              <w:spacing w:line="500" w:lineRule="exact"/>
              <w:jc w:val="center"/>
              <w:rPr>
                <w:rFonts w:ascii="宋体" w:hAnsi="Calibri" w:eastAsia="宋体" w:cs="宋体"/>
                <w:kern w:val="0"/>
                <w:szCs w:val="21"/>
              </w:rPr>
            </w:pPr>
            <w:r>
              <w:rPr>
                <w:rFonts w:hint="eastAsia" w:ascii="宋体" w:hAnsi="宋体" w:eastAsia="宋体" w:cs="宋体"/>
                <w:kern w:val="0"/>
                <w:szCs w:val="21"/>
              </w:rPr>
              <w:t>供应商名称</w:t>
            </w:r>
          </w:p>
        </w:tc>
        <w:tc>
          <w:tcPr>
            <w:tcW w:w="5837" w:type="dxa"/>
            <w:tcBorders>
              <w:top w:val="single" w:color="auto" w:sz="6" w:space="0"/>
              <w:left w:val="single" w:color="auto" w:sz="6" w:space="0"/>
              <w:bottom w:val="single" w:color="auto" w:sz="6" w:space="0"/>
              <w:right w:val="single" w:color="auto" w:sz="12" w:space="0"/>
            </w:tcBorders>
            <w:shd w:val="clear" w:color="auto" w:fill="auto"/>
            <w:vAlign w:val="center"/>
          </w:tcPr>
          <w:p>
            <w:pPr>
              <w:spacing w:line="500" w:lineRule="exact"/>
              <w:rPr>
                <w:rFonts w:ascii="宋体" w:hAnsi="Calibri" w:eastAsia="宋体" w:cs="宋体"/>
                <w:kern w:val="0"/>
                <w:szCs w:val="21"/>
              </w:rPr>
            </w:pPr>
            <w:r>
              <w:rPr>
                <w:rFonts w:hint="eastAsia" w:ascii="宋体" w:hAnsi="宋体" w:eastAsia="宋体" w:cs="宋体"/>
                <w:kern w:val="0"/>
                <w:szCs w:val="21"/>
              </w:rPr>
              <w:t>与营业执照、税务登记证、组织机构代码证一致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7" w:hRule="atLeast"/>
          <w:jc w:val="center"/>
        </w:trPr>
        <w:tc>
          <w:tcPr>
            <w:tcW w:w="1425" w:type="dxa"/>
            <w:gridSpan w:val="2"/>
            <w:vMerge w:val="continue"/>
            <w:tcBorders>
              <w:top w:val="single" w:color="auto" w:sz="4" w:space="0"/>
              <w:left w:val="single" w:color="auto" w:sz="12" w:space="0"/>
              <w:bottom w:val="single" w:color="auto" w:sz="12" w:space="0"/>
              <w:right w:val="single" w:color="auto" w:sz="6" w:space="0"/>
            </w:tcBorders>
            <w:shd w:val="clear" w:color="auto" w:fill="auto"/>
            <w:vAlign w:val="center"/>
          </w:tcPr>
          <w:p>
            <w:pPr>
              <w:rPr>
                <w:rFonts w:ascii="Calibri" w:hAnsi="Calibri" w:cs="Calibri"/>
                <w:sz w:val="20"/>
                <w:szCs w:val="20"/>
              </w:rPr>
            </w:pPr>
          </w:p>
        </w:tc>
        <w:tc>
          <w:tcPr>
            <w:tcW w:w="487" w:type="dxa"/>
            <w:tcBorders>
              <w:top w:val="single" w:color="auto" w:sz="6" w:space="0"/>
              <w:left w:val="single" w:color="auto" w:sz="6" w:space="0"/>
              <w:bottom w:val="single" w:color="auto" w:sz="6" w:space="0"/>
              <w:right w:val="single" w:color="auto" w:sz="4" w:space="0"/>
            </w:tcBorders>
            <w:shd w:val="clear" w:color="auto" w:fill="auto"/>
            <w:vAlign w:val="center"/>
          </w:tcPr>
          <w:p>
            <w:pPr>
              <w:spacing w:line="500" w:lineRule="exact"/>
              <w:jc w:val="center"/>
              <w:rPr>
                <w:rFonts w:ascii="宋体" w:hAnsi="宋体" w:eastAsia="宋体" w:cs="宋体"/>
                <w:kern w:val="0"/>
                <w:szCs w:val="21"/>
              </w:rPr>
            </w:pPr>
            <w:r>
              <w:rPr>
                <w:rFonts w:hint="eastAsia" w:ascii="宋体" w:hAnsi="宋体" w:eastAsia="宋体" w:cs="宋体"/>
                <w:kern w:val="0"/>
                <w:szCs w:val="21"/>
              </w:rPr>
              <w:t>2</w:t>
            </w:r>
          </w:p>
        </w:tc>
        <w:tc>
          <w:tcPr>
            <w:tcW w:w="2358" w:type="dxa"/>
            <w:gridSpan w:val="2"/>
            <w:tcBorders>
              <w:top w:val="single" w:color="auto" w:sz="6" w:space="0"/>
              <w:left w:val="single" w:color="auto" w:sz="4" w:space="0"/>
              <w:bottom w:val="single" w:color="auto" w:sz="6" w:space="0"/>
              <w:right w:val="single" w:color="auto" w:sz="6" w:space="0"/>
            </w:tcBorders>
            <w:shd w:val="clear" w:color="auto" w:fill="auto"/>
            <w:vAlign w:val="center"/>
          </w:tcPr>
          <w:p>
            <w:pPr>
              <w:spacing w:line="500" w:lineRule="exact"/>
              <w:jc w:val="center"/>
              <w:rPr>
                <w:rFonts w:ascii="宋体" w:hAnsi="Calibri" w:eastAsia="宋体" w:cs="宋体"/>
                <w:kern w:val="0"/>
                <w:szCs w:val="21"/>
              </w:rPr>
            </w:pPr>
            <w:r>
              <w:rPr>
                <w:rFonts w:hint="eastAsia" w:ascii="宋体" w:hAnsi="宋体" w:eastAsia="宋体" w:cs="宋体"/>
                <w:kern w:val="0"/>
                <w:szCs w:val="21"/>
              </w:rPr>
              <w:t>投标函签字盖章</w:t>
            </w:r>
          </w:p>
        </w:tc>
        <w:tc>
          <w:tcPr>
            <w:tcW w:w="5837" w:type="dxa"/>
            <w:tcBorders>
              <w:top w:val="single" w:color="auto" w:sz="6" w:space="0"/>
              <w:left w:val="single" w:color="auto" w:sz="6" w:space="0"/>
              <w:bottom w:val="single" w:color="auto" w:sz="6" w:space="0"/>
              <w:right w:val="single" w:color="auto" w:sz="12" w:space="0"/>
            </w:tcBorders>
            <w:shd w:val="clear" w:color="auto" w:fill="auto"/>
            <w:vAlign w:val="center"/>
          </w:tcPr>
          <w:p>
            <w:pPr>
              <w:spacing w:line="500" w:lineRule="exact"/>
              <w:rPr>
                <w:rFonts w:ascii="宋体" w:hAnsi="Calibri" w:eastAsia="宋体" w:cs="宋体"/>
                <w:kern w:val="0"/>
                <w:szCs w:val="21"/>
              </w:rPr>
            </w:pPr>
            <w:r>
              <w:rPr>
                <w:rFonts w:hint="eastAsia" w:ascii="宋体" w:hAnsi="宋体" w:eastAsia="宋体" w:cs="宋体"/>
                <w:kern w:val="0"/>
                <w:szCs w:val="21"/>
              </w:rPr>
              <w:t>有法定代表人或其委托代理人签字及加盖单位公章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8" w:hRule="atLeast"/>
          <w:jc w:val="center"/>
        </w:trPr>
        <w:tc>
          <w:tcPr>
            <w:tcW w:w="1425" w:type="dxa"/>
            <w:gridSpan w:val="2"/>
            <w:vMerge w:val="continue"/>
            <w:tcBorders>
              <w:top w:val="single" w:color="auto" w:sz="4" w:space="0"/>
              <w:left w:val="single" w:color="auto" w:sz="12" w:space="0"/>
              <w:bottom w:val="single" w:color="auto" w:sz="12" w:space="0"/>
              <w:right w:val="single" w:color="auto" w:sz="6" w:space="0"/>
            </w:tcBorders>
            <w:shd w:val="clear" w:color="auto" w:fill="auto"/>
            <w:vAlign w:val="center"/>
          </w:tcPr>
          <w:p>
            <w:pPr>
              <w:rPr>
                <w:rFonts w:ascii="Calibri" w:hAnsi="Calibri" w:cs="Calibri"/>
                <w:sz w:val="20"/>
                <w:szCs w:val="20"/>
              </w:rPr>
            </w:pPr>
          </w:p>
        </w:tc>
        <w:tc>
          <w:tcPr>
            <w:tcW w:w="487" w:type="dxa"/>
            <w:tcBorders>
              <w:top w:val="single" w:color="auto" w:sz="6" w:space="0"/>
              <w:left w:val="single" w:color="auto" w:sz="6" w:space="0"/>
              <w:bottom w:val="single" w:color="auto" w:sz="6" w:space="0"/>
              <w:right w:val="single" w:color="auto" w:sz="4" w:space="0"/>
            </w:tcBorders>
            <w:shd w:val="clear" w:color="auto" w:fill="auto"/>
            <w:vAlign w:val="center"/>
          </w:tcPr>
          <w:p>
            <w:pPr>
              <w:spacing w:line="500" w:lineRule="exact"/>
              <w:jc w:val="center"/>
              <w:rPr>
                <w:rFonts w:ascii="宋体" w:hAnsi="宋体" w:eastAsia="宋体" w:cs="宋体"/>
                <w:kern w:val="0"/>
                <w:szCs w:val="21"/>
              </w:rPr>
            </w:pPr>
            <w:r>
              <w:rPr>
                <w:rFonts w:hint="eastAsia" w:ascii="宋体" w:hAnsi="宋体" w:eastAsia="宋体" w:cs="宋体"/>
                <w:kern w:val="0"/>
                <w:szCs w:val="21"/>
              </w:rPr>
              <w:t>3</w:t>
            </w:r>
          </w:p>
        </w:tc>
        <w:tc>
          <w:tcPr>
            <w:tcW w:w="2358" w:type="dxa"/>
            <w:gridSpan w:val="2"/>
            <w:tcBorders>
              <w:top w:val="single" w:color="auto" w:sz="6" w:space="0"/>
              <w:left w:val="single" w:color="auto" w:sz="4" w:space="0"/>
              <w:bottom w:val="single" w:color="auto" w:sz="6" w:space="0"/>
              <w:right w:val="single" w:color="auto" w:sz="6" w:space="0"/>
            </w:tcBorders>
            <w:shd w:val="clear" w:color="auto" w:fill="auto"/>
            <w:vAlign w:val="center"/>
          </w:tcPr>
          <w:p>
            <w:pPr>
              <w:spacing w:line="500" w:lineRule="exact"/>
              <w:jc w:val="center"/>
              <w:rPr>
                <w:rFonts w:ascii="宋体" w:hAnsi="Calibri" w:eastAsia="宋体" w:cs="宋体"/>
                <w:kern w:val="0"/>
                <w:szCs w:val="21"/>
              </w:rPr>
            </w:pPr>
            <w:r>
              <w:rPr>
                <w:rFonts w:hint="eastAsia" w:ascii="宋体" w:hAnsi="宋体" w:eastAsia="宋体" w:cs="宋体"/>
                <w:kern w:val="0"/>
                <w:szCs w:val="21"/>
              </w:rPr>
              <w:t>谈判响应文件格式</w:t>
            </w:r>
          </w:p>
        </w:tc>
        <w:tc>
          <w:tcPr>
            <w:tcW w:w="5837" w:type="dxa"/>
            <w:tcBorders>
              <w:top w:val="single" w:color="auto" w:sz="6" w:space="0"/>
              <w:left w:val="single" w:color="auto" w:sz="6" w:space="0"/>
              <w:bottom w:val="single" w:color="auto" w:sz="6" w:space="0"/>
              <w:right w:val="single" w:color="auto" w:sz="12" w:space="0"/>
            </w:tcBorders>
            <w:shd w:val="clear" w:color="auto" w:fill="auto"/>
            <w:vAlign w:val="center"/>
          </w:tcPr>
          <w:p>
            <w:pPr>
              <w:spacing w:line="500" w:lineRule="exact"/>
              <w:rPr>
                <w:rFonts w:ascii="宋体" w:hAnsi="Calibri" w:eastAsia="宋体" w:cs="宋体"/>
                <w:kern w:val="0"/>
                <w:szCs w:val="21"/>
              </w:rPr>
            </w:pPr>
            <w:r>
              <w:rPr>
                <w:rFonts w:hint="eastAsia" w:ascii="宋体" w:hAnsi="宋体" w:eastAsia="宋体" w:cs="宋体"/>
                <w:kern w:val="0"/>
                <w:szCs w:val="21"/>
              </w:rPr>
              <w:t>符合谈判文件第六章“谈判响应文件格式”的要求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5" w:hRule="atLeast"/>
          <w:jc w:val="center"/>
        </w:trPr>
        <w:tc>
          <w:tcPr>
            <w:tcW w:w="1425" w:type="dxa"/>
            <w:gridSpan w:val="2"/>
            <w:vMerge w:val="continue"/>
            <w:tcBorders>
              <w:top w:val="single" w:color="auto" w:sz="4" w:space="0"/>
              <w:left w:val="single" w:color="auto" w:sz="12" w:space="0"/>
              <w:bottom w:val="single" w:color="auto" w:sz="12" w:space="0"/>
              <w:right w:val="single" w:color="auto" w:sz="6" w:space="0"/>
            </w:tcBorders>
            <w:shd w:val="clear" w:color="auto" w:fill="auto"/>
            <w:vAlign w:val="center"/>
          </w:tcPr>
          <w:p>
            <w:pPr>
              <w:rPr>
                <w:rFonts w:ascii="Calibri" w:hAnsi="Calibri" w:cs="Calibri"/>
                <w:sz w:val="20"/>
                <w:szCs w:val="20"/>
              </w:rPr>
            </w:pPr>
          </w:p>
        </w:tc>
        <w:tc>
          <w:tcPr>
            <w:tcW w:w="487" w:type="dxa"/>
            <w:tcBorders>
              <w:top w:val="single" w:color="auto" w:sz="6" w:space="0"/>
              <w:left w:val="single" w:color="auto" w:sz="6" w:space="0"/>
              <w:bottom w:val="single" w:color="auto" w:sz="6" w:space="0"/>
              <w:right w:val="single" w:color="auto" w:sz="4" w:space="0"/>
            </w:tcBorders>
            <w:shd w:val="clear" w:color="auto" w:fill="auto"/>
            <w:vAlign w:val="center"/>
          </w:tcPr>
          <w:p>
            <w:pPr>
              <w:spacing w:line="500" w:lineRule="exact"/>
              <w:jc w:val="center"/>
              <w:rPr>
                <w:rFonts w:ascii="宋体" w:hAnsi="宋体" w:eastAsia="宋体" w:cs="宋体"/>
                <w:kern w:val="0"/>
                <w:szCs w:val="21"/>
              </w:rPr>
            </w:pPr>
            <w:r>
              <w:rPr>
                <w:rFonts w:hint="eastAsia" w:ascii="宋体" w:hAnsi="宋体" w:eastAsia="宋体" w:cs="宋体"/>
                <w:kern w:val="0"/>
                <w:szCs w:val="21"/>
              </w:rPr>
              <w:t>4</w:t>
            </w:r>
          </w:p>
        </w:tc>
        <w:tc>
          <w:tcPr>
            <w:tcW w:w="2358" w:type="dxa"/>
            <w:gridSpan w:val="2"/>
            <w:tcBorders>
              <w:top w:val="single" w:color="auto" w:sz="6" w:space="0"/>
              <w:left w:val="single" w:color="auto" w:sz="4" w:space="0"/>
              <w:bottom w:val="single" w:color="auto" w:sz="6" w:space="0"/>
              <w:right w:val="single" w:color="auto" w:sz="6" w:space="0"/>
            </w:tcBorders>
            <w:shd w:val="clear" w:color="auto" w:fill="auto"/>
            <w:vAlign w:val="center"/>
          </w:tcPr>
          <w:p>
            <w:pPr>
              <w:spacing w:line="500" w:lineRule="exact"/>
              <w:jc w:val="center"/>
              <w:rPr>
                <w:rFonts w:ascii="宋体" w:hAnsi="Calibri" w:eastAsia="宋体" w:cs="宋体"/>
                <w:kern w:val="0"/>
                <w:szCs w:val="21"/>
              </w:rPr>
            </w:pPr>
            <w:r>
              <w:rPr>
                <w:rFonts w:hint="eastAsia" w:ascii="宋体" w:hAnsi="宋体" w:eastAsia="宋体" w:cs="宋体"/>
                <w:kern w:val="0"/>
                <w:szCs w:val="21"/>
              </w:rPr>
              <w:t>报价唯一</w:t>
            </w:r>
          </w:p>
        </w:tc>
        <w:tc>
          <w:tcPr>
            <w:tcW w:w="5837" w:type="dxa"/>
            <w:tcBorders>
              <w:top w:val="single" w:color="auto" w:sz="6" w:space="0"/>
              <w:left w:val="single" w:color="auto" w:sz="6" w:space="0"/>
              <w:bottom w:val="single" w:color="auto" w:sz="6" w:space="0"/>
              <w:right w:val="single" w:color="auto" w:sz="12" w:space="0"/>
            </w:tcBorders>
            <w:shd w:val="clear" w:color="auto" w:fill="auto"/>
            <w:vAlign w:val="center"/>
          </w:tcPr>
          <w:p>
            <w:pPr>
              <w:spacing w:line="500" w:lineRule="exact"/>
              <w:rPr>
                <w:rFonts w:ascii="宋体" w:hAnsi="Calibri" w:eastAsia="宋体" w:cs="宋体"/>
                <w:kern w:val="0"/>
                <w:szCs w:val="21"/>
              </w:rPr>
            </w:pPr>
            <w:r>
              <w:rPr>
                <w:rFonts w:hint="eastAsia" w:ascii="宋体" w:hAnsi="宋体" w:eastAsia="宋体" w:cs="宋体"/>
                <w:kern w:val="0"/>
                <w:szCs w:val="21"/>
              </w:rPr>
              <w:t>只能有一个有效报价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jc w:val="center"/>
        </w:trPr>
        <w:tc>
          <w:tcPr>
            <w:tcW w:w="1425" w:type="dxa"/>
            <w:gridSpan w:val="2"/>
            <w:vMerge w:val="continue"/>
            <w:tcBorders>
              <w:top w:val="single" w:color="auto" w:sz="4" w:space="0"/>
              <w:left w:val="single" w:color="auto" w:sz="12" w:space="0"/>
              <w:bottom w:val="single" w:color="auto" w:sz="12" w:space="0"/>
              <w:right w:val="single" w:color="auto" w:sz="6" w:space="0"/>
            </w:tcBorders>
            <w:shd w:val="clear" w:color="auto" w:fill="auto"/>
            <w:vAlign w:val="center"/>
          </w:tcPr>
          <w:p>
            <w:pPr>
              <w:rPr>
                <w:rFonts w:ascii="Calibri" w:hAnsi="Calibri" w:cs="Calibri"/>
                <w:sz w:val="20"/>
                <w:szCs w:val="20"/>
              </w:rPr>
            </w:pPr>
          </w:p>
        </w:tc>
        <w:tc>
          <w:tcPr>
            <w:tcW w:w="487" w:type="dxa"/>
            <w:tcBorders>
              <w:top w:val="single" w:color="auto" w:sz="6" w:space="0"/>
              <w:left w:val="single" w:color="auto" w:sz="6" w:space="0"/>
              <w:bottom w:val="single" w:color="auto" w:sz="6" w:space="0"/>
              <w:right w:val="single" w:color="auto" w:sz="4" w:space="0"/>
            </w:tcBorders>
            <w:shd w:val="clear" w:color="auto" w:fill="auto"/>
            <w:vAlign w:val="center"/>
          </w:tcPr>
          <w:p>
            <w:pPr>
              <w:spacing w:line="500" w:lineRule="exact"/>
              <w:jc w:val="center"/>
              <w:rPr>
                <w:rFonts w:ascii="宋体" w:hAnsi="宋体" w:eastAsia="宋体" w:cs="宋体"/>
                <w:kern w:val="0"/>
                <w:szCs w:val="21"/>
              </w:rPr>
            </w:pPr>
            <w:r>
              <w:rPr>
                <w:rFonts w:hint="eastAsia" w:ascii="宋体" w:hAnsi="宋体" w:eastAsia="宋体" w:cs="宋体"/>
                <w:kern w:val="0"/>
                <w:szCs w:val="21"/>
              </w:rPr>
              <w:t>5</w:t>
            </w:r>
          </w:p>
        </w:tc>
        <w:tc>
          <w:tcPr>
            <w:tcW w:w="2358" w:type="dxa"/>
            <w:gridSpan w:val="2"/>
            <w:tcBorders>
              <w:top w:val="single" w:color="auto" w:sz="6" w:space="0"/>
              <w:left w:val="single" w:color="auto" w:sz="4" w:space="0"/>
              <w:bottom w:val="single" w:color="auto" w:sz="6" w:space="0"/>
              <w:right w:val="single" w:color="auto" w:sz="6" w:space="0"/>
            </w:tcBorders>
            <w:shd w:val="clear" w:color="auto" w:fill="auto"/>
            <w:vAlign w:val="center"/>
          </w:tcPr>
          <w:p>
            <w:pPr>
              <w:spacing w:line="500" w:lineRule="exact"/>
              <w:jc w:val="center"/>
              <w:rPr>
                <w:rFonts w:ascii="宋体" w:hAnsi="宋体" w:eastAsia="宋体" w:cs="宋体"/>
                <w:kern w:val="0"/>
                <w:szCs w:val="21"/>
              </w:rPr>
            </w:pPr>
            <w:r>
              <w:rPr>
                <w:rFonts w:hint="eastAsia" w:ascii="宋体" w:hAnsi="宋体" w:eastAsia="宋体" w:cs="宋体"/>
                <w:kern w:val="0"/>
                <w:szCs w:val="21"/>
              </w:rPr>
              <w:t>联合体投标</w:t>
            </w:r>
          </w:p>
        </w:tc>
        <w:tc>
          <w:tcPr>
            <w:tcW w:w="5837" w:type="dxa"/>
            <w:tcBorders>
              <w:top w:val="single" w:color="auto" w:sz="6" w:space="0"/>
              <w:left w:val="single" w:color="auto" w:sz="6" w:space="0"/>
              <w:bottom w:val="single" w:color="auto" w:sz="6" w:space="0"/>
              <w:right w:val="single" w:color="auto" w:sz="12" w:space="0"/>
            </w:tcBorders>
            <w:shd w:val="clear" w:color="auto" w:fill="auto"/>
            <w:vAlign w:val="center"/>
          </w:tcPr>
          <w:p>
            <w:pPr>
              <w:spacing w:line="500" w:lineRule="exact"/>
              <w:rPr>
                <w:rFonts w:ascii="宋体" w:hAnsi="宋体" w:eastAsia="宋体" w:cs="宋体"/>
                <w:kern w:val="0"/>
                <w:szCs w:val="21"/>
              </w:rPr>
            </w:pPr>
            <w:r>
              <w:rPr>
                <w:rFonts w:hint="eastAsia" w:ascii="宋体" w:hAnsi="宋体" w:eastAsia="宋体" w:cs="宋体"/>
                <w:kern w:val="0"/>
                <w:szCs w:val="21"/>
              </w:rPr>
              <w:t>不接受联合体投标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8" w:hRule="atLeast"/>
          <w:jc w:val="center"/>
        </w:trPr>
        <w:tc>
          <w:tcPr>
            <w:tcW w:w="1425" w:type="dxa"/>
            <w:gridSpan w:val="2"/>
            <w:vMerge w:val="restart"/>
            <w:tcBorders>
              <w:top w:val="single" w:color="auto" w:sz="12" w:space="0"/>
              <w:left w:val="single" w:color="auto" w:sz="12" w:space="0"/>
              <w:bottom w:val="single" w:color="auto" w:sz="12" w:space="0"/>
              <w:right w:val="single" w:color="auto" w:sz="6" w:space="0"/>
            </w:tcBorders>
            <w:shd w:val="clear" w:color="auto" w:fill="auto"/>
            <w:vAlign w:val="center"/>
          </w:tcPr>
          <w:p>
            <w:pPr>
              <w:spacing w:line="500" w:lineRule="exact"/>
              <w:jc w:val="center"/>
              <w:rPr>
                <w:rFonts w:ascii="宋体" w:hAnsi="Calibri" w:eastAsia="宋体" w:cs="宋体"/>
                <w:kern w:val="0"/>
                <w:szCs w:val="21"/>
              </w:rPr>
            </w:pPr>
            <w:r>
              <w:rPr>
                <w:rFonts w:hint="eastAsia" w:ascii="宋体" w:hAnsi="宋体" w:eastAsia="宋体" w:cs="宋体"/>
                <w:kern w:val="0"/>
                <w:szCs w:val="21"/>
              </w:rPr>
              <w:t>2.1.2资格评审</w:t>
            </w:r>
          </w:p>
          <w:p>
            <w:pPr>
              <w:spacing w:line="500" w:lineRule="exact"/>
              <w:jc w:val="center"/>
              <w:rPr>
                <w:rFonts w:ascii="宋体" w:hAnsi="Calibri" w:eastAsia="宋体" w:cs="宋体"/>
                <w:kern w:val="0"/>
                <w:szCs w:val="21"/>
              </w:rPr>
            </w:pPr>
            <w:r>
              <w:rPr>
                <w:rFonts w:hint="eastAsia" w:ascii="宋体" w:hAnsi="宋体" w:eastAsia="宋体" w:cs="宋体"/>
                <w:kern w:val="0"/>
                <w:szCs w:val="21"/>
              </w:rPr>
              <w:t>标准</w:t>
            </w:r>
          </w:p>
          <w:p>
            <w:pPr>
              <w:spacing w:line="500" w:lineRule="exact"/>
              <w:rPr>
                <w:rFonts w:ascii="宋体" w:hAnsi="Calibri" w:eastAsia="宋体" w:cs="宋体"/>
                <w:kern w:val="0"/>
                <w:szCs w:val="21"/>
              </w:rPr>
            </w:pPr>
          </w:p>
        </w:tc>
        <w:tc>
          <w:tcPr>
            <w:tcW w:w="487" w:type="dxa"/>
            <w:tcBorders>
              <w:top w:val="single" w:color="auto" w:sz="6" w:space="0"/>
              <w:left w:val="single" w:color="auto" w:sz="6" w:space="0"/>
              <w:bottom w:val="single" w:color="auto" w:sz="6" w:space="0"/>
              <w:right w:val="single" w:color="auto" w:sz="4" w:space="0"/>
            </w:tcBorders>
            <w:shd w:val="clear" w:color="auto" w:fill="auto"/>
            <w:vAlign w:val="center"/>
          </w:tcPr>
          <w:p>
            <w:pPr>
              <w:spacing w:line="500" w:lineRule="exact"/>
              <w:jc w:val="center"/>
              <w:rPr>
                <w:rFonts w:ascii="宋体" w:hAnsi="宋体" w:eastAsia="宋体" w:cs="宋体"/>
                <w:kern w:val="0"/>
                <w:szCs w:val="21"/>
              </w:rPr>
            </w:pPr>
            <w:r>
              <w:rPr>
                <w:rFonts w:hint="eastAsia" w:ascii="宋体" w:hAnsi="宋体" w:eastAsia="宋体" w:cs="宋体"/>
                <w:kern w:val="0"/>
                <w:szCs w:val="21"/>
              </w:rPr>
              <w:t>1</w:t>
            </w:r>
          </w:p>
        </w:tc>
        <w:tc>
          <w:tcPr>
            <w:tcW w:w="2358" w:type="dxa"/>
            <w:gridSpan w:val="2"/>
            <w:tcBorders>
              <w:top w:val="single" w:color="auto" w:sz="6" w:space="0"/>
              <w:left w:val="single" w:color="auto" w:sz="4" w:space="0"/>
              <w:bottom w:val="single" w:color="auto" w:sz="6" w:space="0"/>
              <w:right w:val="single" w:color="auto" w:sz="6" w:space="0"/>
            </w:tcBorders>
            <w:shd w:val="clear" w:color="auto" w:fill="auto"/>
            <w:vAlign w:val="center"/>
          </w:tcPr>
          <w:p>
            <w:pPr>
              <w:spacing w:line="500" w:lineRule="exact"/>
              <w:jc w:val="center"/>
              <w:rPr>
                <w:rFonts w:ascii="宋体" w:hAnsi="Calibri" w:eastAsia="宋体" w:cs="宋体"/>
                <w:kern w:val="0"/>
                <w:szCs w:val="21"/>
              </w:rPr>
            </w:pPr>
            <w:r>
              <w:rPr>
                <w:rFonts w:hint="eastAsia" w:ascii="宋体" w:hAnsi="宋体" w:eastAsia="宋体" w:cs="宋体"/>
                <w:kern w:val="0"/>
                <w:szCs w:val="21"/>
              </w:rPr>
              <w:t>营业执照</w:t>
            </w:r>
          </w:p>
        </w:tc>
        <w:tc>
          <w:tcPr>
            <w:tcW w:w="5837" w:type="dxa"/>
            <w:tcBorders>
              <w:top w:val="single" w:color="auto" w:sz="6" w:space="0"/>
              <w:left w:val="single" w:color="auto" w:sz="6" w:space="0"/>
              <w:bottom w:val="single" w:color="auto" w:sz="6" w:space="0"/>
              <w:right w:val="single" w:color="auto" w:sz="12" w:space="0"/>
            </w:tcBorders>
            <w:shd w:val="clear" w:color="auto" w:fill="auto"/>
            <w:vAlign w:val="center"/>
          </w:tcPr>
          <w:p>
            <w:pPr>
              <w:keepNext w:val="0"/>
              <w:keepLines w:val="0"/>
              <w:widowControl w:val="0"/>
              <w:suppressLineNumbers w:val="0"/>
              <w:spacing w:before="0" w:beforeAutospacing="0" w:after="0" w:afterAutospacing="0" w:line="500" w:lineRule="exact"/>
              <w:ind w:left="0" w:leftChars="0" w:right="0" w:rightChars="0"/>
              <w:jc w:val="both"/>
              <w:rPr>
                <w:rFonts w:ascii="宋体" w:hAnsi="Calibri" w:eastAsia="宋体" w:cs="宋体"/>
                <w:kern w:val="0"/>
                <w:szCs w:val="21"/>
              </w:rPr>
            </w:pPr>
            <w:r>
              <w:rPr>
                <w:rFonts w:hint="eastAsia" w:ascii="宋体" w:hAnsi="宋体" w:eastAsia="宋体" w:cs="宋体"/>
                <w:color w:val="000000"/>
                <w:szCs w:val="21"/>
                <w:lang w:eastAsia="zh-CN"/>
              </w:rPr>
              <w:t>符合谈判文件要求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63" w:hRule="atLeast"/>
          <w:jc w:val="center"/>
        </w:trPr>
        <w:tc>
          <w:tcPr>
            <w:tcW w:w="1425" w:type="dxa"/>
            <w:gridSpan w:val="2"/>
            <w:vMerge w:val="continue"/>
            <w:tcBorders>
              <w:top w:val="single" w:color="auto" w:sz="12" w:space="0"/>
              <w:left w:val="single" w:color="auto" w:sz="12" w:space="0"/>
              <w:bottom w:val="single" w:color="auto" w:sz="12" w:space="0"/>
              <w:right w:val="single" w:color="auto" w:sz="6" w:space="0"/>
            </w:tcBorders>
            <w:shd w:val="clear" w:color="auto" w:fill="auto"/>
            <w:vAlign w:val="center"/>
          </w:tcPr>
          <w:p>
            <w:pPr>
              <w:rPr>
                <w:rFonts w:ascii="Calibri" w:hAnsi="Calibri" w:cs="Calibri"/>
                <w:sz w:val="20"/>
                <w:szCs w:val="20"/>
              </w:rPr>
            </w:pPr>
          </w:p>
        </w:tc>
        <w:tc>
          <w:tcPr>
            <w:tcW w:w="487" w:type="dxa"/>
            <w:tcBorders>
              <w:top w:val="single" w:color="auto" w:sz="6" w:space="0"/>
              <w:left w:val="single" w:color="auto" w:sz="6" w:space="0"/>
              <w:bottom w:val="single" w:color="auto" w:sz="6" w:space="0"/>
              <w:right w:val="single" w:color="auto" w:sz="4" w:space="0"/>
            </w:tcBorders>
            <w:shd w:val="clear" w:color="auto" w:fill="auto"/>
            <w:vAlign w:val="center"/>
          </w:tcPr>
          <w:p>
            <w:pPr>
              <w:keepNext/>
              <w:keepLines/>
              <w:widowControl/>
              <w:adjustRightInd w:val="0"/>
              <w:spacing w:before="160" w:after="160" w:line="240" w:lineRule="atLeast"/>
              <w:ind w:left="425" w:hanging="425"/>
              <w:jc w:val="center"/>
              <w:outlineLvl w:val="0"/>
              <w:rPr>
                <w:rFonts w:ascii="宋体" w:hAnsi="宋体" w:eastAsia="宋体" w:cs="宋体"/>
                <w:bCs/>
                <w:color w:val="000000"/>
                <w:szCs w:val="21"/>
              </w:rPr>
            </w:pPr>
            <w:bookmarkStart w:id="53" w:name="_Toc31648103"/>
            <w:bookmarkStart w:id="54" w:name="_Toc29548310"/>
            <w:bookmarkStart w:id="55" w:name="_Toc28594607"/>
            <w:bookmarkStart w:id="56" w:name="_Toc28591806"/>
            <w:r>
              <w:rPr>
                <w:rFonts w:hint="eastAsia" w:ascii="宋体" w:hAnsi="宋体" w:eastAsia="宋体" w:cs="宋体"/>
                <w:bCs/>
                <w:color w:val="000000"/>
                <w:szCs w:val="21"/>
              </w:rPr>
              <w:t>2</w:t>
            </w:r>
            <w:bookmarkEnd w:id="53"/>
            <w:bookmarkEnd w:id="54"/>
            <w:bookmarkEnd w:id="55"/>
            <w:bookmarkEnd w:id="56"/>
          </w:p>
        </w:tc>
        <w:tc>
          <w:tcPr>
            <w:tcW w:w="2358" w:type="dxa"/>
            <w:gridSpan w:val="2"/>
            <w:tcBorders>
              <w:top w:val="single" w:color="auto" w:sz="6" w:space="0"/>
              <w:left w:val="single" w:color="auto" w:sz="4" w:space="0"/>
              <w:bottom w:val="single" w:color="auto" w:sz="6" w:space="0"/>
              <w:right w:val="single" w:color="auto" w:sz="6" w:space="0"/>
            </w:tcBorders>
            <w:shd w:val="clear" w:color="auto" w:fill="auto"/>
            <w:vAlign w:val="center"/>
          </w:tcPr>
          <w:p>
            <w:pPr>
              <w:spacing w:line="420" w:lineRule="exact"/>
              <w:ind w:leftChars="-51" w:hanging="107" w:hangingChars="51"/>
              <w:jc w:val="center"/>
              <w:rPr>
                <w:rFonts w:ascii="宋体" w:hAnsi="宋体" w:eastAsia="宋体" w:cs="宋体"/>
                <w:color w:val="000000"/>
                <w:szCs w:val="21"/>
              </w:rPr>
            </w:pPr>
            <w:r>
              <w:rPr>
                <w:rFonts w:hint="eastAsia" w:ascii="宋体" w:hAnsi="宋体" w:eastAsia="宋体" w:cs="宋体"/>
                <w:szCs w:val="21"/>
              </w:rPr>
              <w:t>具有良好的商业信誉和健全的财务会计制度</w:t>
            </w:r>
          </w:p>
        </w:tc>
        <w:tc>
          <w:tcPr>
            <w:tcW w:w="5837" w:type="dxa"/>
            <w:tcBorders>
              <w:top w:val="single" w:color="auto" w:sz="6" w:space="0"/>
              <w:left w:val="single" w:color="auto" w:sz="6" w:space="0"/>
              <w:bottom w:val="single" w:color="auto" w:sz="6" w:space="0"/>
              <w:right w:val="single" w:color="auto" w:sz="12" w:space="0"/>
            </w:tcBorders>
            <w:shd w:val="clear" w:color="auto" w:fill="auto"/>
            <w:vAlign w:val="center"/>
          </w:tcPr>
          <w:p>
            <w:pPr>
              <w:keepNext w:val="0"/>
              <w:keepLines w:val="0"/>
              <w:widowControl w:val="0"/>
              <w:suppressLineNumbers w:val="0"/>
              <w:spacing w:before="0" w:beforeAutospacing="0" w:after="0" w:afterAutospacing="0" w:line="360" w:lineRule="auto"/>
              <w:ind w:left="0" w:leftChars="0" w:right="0" w:rightChars="0" w:firstLine="105" w:firstLineChars="50"/>
              <w:jc w:val="both"/>
              <w:rPr>
                <w:rFonts w:ascii="宋体" w:hAnsi="宋体" w:eastAsia="宋体" w:cs="宋体"/>
                <w:color w:val="000000"/>
                <w:szCs w:val="21"/>
              </w:rPr>
            </w:pPr>
            <w:r>
              <w:rPr>
                <w:rFonts w:hint="eastAsia" w:ascii="宋体" w:hAnsi="宋体" w:eastAsia="宋体" w:cs="宋体"/>
                <w:color w:val="000000"/>
                <w:szCs w:val="21"/>
                <w:lang w:eastAsia="zh-CN"/>
              </w:rPr>
              <w:t>符合谈判文件要求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63" w:hRule="atLeast"/>
          <w:jc w:val="center"/>
        </w:trPr>
        <w:tc>
          <w:tcPr>
            <w:tcW w:w="1425" w:type="dxa"/>
            <w:gridSpan w:val="2"/>
            <w:vMerge w:val="continue"/>
            <w:tcBorders>
              <w:top w:val="single" w:color="auto" w:sz="12" w:space="0"/>
              <w:left w:val="single" w:color="auto" w:sz="12" w:space="0"/>
              <w:bottom w:val="single" w:color="auto" w:sz="12" w:space="0"/>
              <w:right w:val="single" w:color="auto" w:sz="6" w:space="0"/>
            </w:tcBorders>
            <w:shd w:val="clear" w:color="auto" w:fill="auto"/>
            <w:vAlign w:val="center"/>
          </w:tcPr>
          <w:p>
            <w:pPr>
              <w:rPr>
                <w:rFonts w:ascii="Calibri" w:hAnsi="Calibri" w:cs="Calibri"/>
                <w:sz w:val="20"/>
                <w:szCs w:val="20"/>
              </w:rPr>
            </w:pPr>
          </w:p>
        </w:tc>
        <w:tc>
          <w:tcPr>
            <w:tcW w:w="487" w:type="dxa"/>
            <w:tcBorders>
              <w:top w:val="single" w:color="auto" w:sz="6" w:space="0"/>
              <w:left w:val="single" w:color="auto" w:sz="6" w:space="0"/>
              <w:bottom w:val="single" w:color="auto" w:sz="6" w:space="0"/>
              <w:right w:val="single" w:color="auto" w:sz="4" w:space="0"/>
            </w:tcBorders>
            <w:shd w:val="clear" w:color="auto" w:fill="auto"/>
            <w:vAlign w:val="center"/>
          </w:tcPr>
          <w:p>
            <w:pPr>
              <w:keepNext/>
              <w:keepLines/>
              <w:widowControl/>
              <w:adjustRightInd w:val="0"/>
              <w:spacing w:before="160" w:after="160" w:line="240" w:lineRule="atLeast"/>
              <w:ind w:left="425" w:hanging="425"/>
              <w:jc w:val="center"/>
              <w:outlineLvl w:val="0"/>
              <w:rPr>
                <w:rFonts w:ascii="宋体" w:hAnsi="宋体" w:eastAsia="宋体" w:cs="宋体"/>
                <w:bCs/>
                <w:color w:val="000000"/>
                <w:szCs w:val="21"/>
              </w:rPr>
            </w:pPr>
            <w:bookmarkStart w:id="57" w:name="_Toc31648104"/>
            <w:bookmarkStart w:id="58" w:name="_Toc29548311"/>
            <w:bookmarkStart w:id="59" w:name="_Toc28594608"/>
            <w:bookmarkStart w:id="60" w:name="_Toc28591807"/>
            <w:r>
              <w:rPr>
                <w:rFonts w:hint="eastAsia" w:ascii="宋体" w:hAnsi="宋体" w:eastAsia="宋体" w:cs="宋体"/>
                <w:bCs/>
                <w:color w:val="000000"/>
                <w:szCs w:val="21"/>
              </w:rPr>
              <w:t>3</w:t>
            </w:r>
            <w:bookmarkEnd w:id="57"/>
            <w:bookmarkEnd w:id="58"/>
            <w:bookmarkEnd w:id="59"/>
            <w:bookmarkEnd w:id="60"/>
          </w:p>
        </w:tc>
        <w:tc>
          <w:tcPr>
            <w:tcW w:w="2358" w:type="dxa"/>
            <w:gridSpan w:val="2"/>
            <w:tcBorders>
              <w:top w:val="single" w:color="auto" w:sz="6" w:space="0"/>
              <w:left w:val="single" w:color="auto" w:sz="4" w:space="0"/>
              <w:bottom w:val="single" w:color="auto" w:sz="6" w:space="0"/>
              <w:right w:val="single" w:color="auto" w:sz="6" w:space="0"/>
            </w:tcBorders>
            <w:shd w:val="clear" w:color="auto" w:fill="auto"/>
            <w:vAlign w:val="center"/>
          </w:tcPr>
          <w:p>
            <w:pPr>
              <w:spacing w:line="420" w:lineRule="exact"/>
              <w:ind w:leftChars="-51" w:hanging="107" w:hangingChars="51"/>
              <w:jc w:val="center"/>
              <w:rPr>
                <w:rFonts w:ascii="宋体" w:hAnsi="宋体" w:eastAsia="宋体" w:cs="宋体"/>
                <w:color w:val="000000"/>
                <w:szCs w:val="21"/>
              </w:rPr>
            </w:pPr>
            <w:r>
              <w:rPr>
                <w:rFonts w:hint="eastAsia" w:ascii="宋体" w:hAnsi="宋体" w:eastAsia="宋体" w:cs="宋体"/>
                <w:szCs w:val="21"/>
              </w:rPr>
              <w:t>具有履行合同所必需的设备和专业技术能力</w:t>
            </w:r>
          </w:p>
        </w:tc>
        <w:tc>
          <w:tcPr>
            <w:tcW w:w="5837" w:type="dxa"/>
            <w:tcBorders>
              <w:top w:val="single" w:color="auto" w:sz="6" w:space="0"/>
              <w:left w:val="single" w:color="auto" w:sz="6" w:space="0"/>
              <w:bottom w:val="single" w:color="auto" w:sz="6" w:space="0"/>
              <w:right w:val="single" w:color="auto" w:sz="12" w:space="0"/>
            </w:tcBorders>
            <w:shd w:val="clear" w:color="auto" w:fill="auto"/>
            <w:vAlign w:val="center"/>
          </w:tcPr>
          <w:p>
            <w:pPr>
              <w:keepNext w:val="0"/>
              <w:keepLines w:val="0"/>
              <w:widowControl w:val="0"/>
              <w:suppressLineNumbers w:val="0"/>
              <w:spacing w:before="0" w:beforeAutospacing="0" w:after="0" w:afterAutospacing="0" w:line="420" w:lineRule="exact"/>
              <w:ind w:left="0" w:leftChars="0" w:right="0" w:rightChars="0"/>
              <w:jc w:val="left"/>
              <w:rPr>
                <w:rFonts w:ascii="宋体" w:hAnsi="宋体" w:eastAsia="宋体" w:cs="宋体"/>
                <w:color w:val="000000"/>
                <w:szCs w:val="21"/>
              </w:rPr>
            </w:pPr>
            <w:r>
              <w:rPr>
                <w:rFonts w:hint="eastAsia" w:ascii="宋体" w:hAnsi="宋体" w:eastAsia="宋体" w:cs="宋体"/>
                <w:color w:val="000000"/>
                <w:szCs w:val="21"/>
                <w:lang w:eastAsia="zh-CN"/>
              </w:rPr>
              <w:t>符合谈判文件要求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63" w:hRule="atLeast"/>
          <w:jc w:val="center"/>
        </w:trPr>
        <w:tc>
          <w:tcPr>
            <w:tcW w:w="1425" w:type="dxa"/>
            <w:gridSpan w:val="2"/>
            <w:vMerge w:val="continue"/>
            <w:tcBorders>
              <w:top w:val="single" w:color="auto" w:sz="12" w:space="0"/>
              <w:left w:val="single" w:color="auto" w:sz="12" w:space="0"/>
              <w:bottom w:val="single" w:color="auto" w:sz="12" w:space="0"/>
              <w:right w:val="single" w:color="auto" w:sz="6" w:space="0"/>
            </w:tcBorders>
            <w:shd w:val="clear" w:color="auto" w:fill="auto"/>
            <w:vAlign w:val="center"/>
          </w:tcPr>
          <w:p>
            <w:pPr>
              <w:rPr>
                <w:rFonts w:ascii="Calibri" w:hAnsi="Calibri" w:cs="Calibri"/>
                <w:sz w:val="20"/>
                <w:szCs w:val="20"/>
              </w:rPr>
            </w:pPr>
          </w:p>
        </w:tc>
        <w:tc>
          <w:tcPr>
            <w:tcW w:w="487" w:type="dxa"/>
            <w:tcBorders>
              <w:top w:val="single" w:color="auto" w:sz="6" w:space="0"/>
              <w:left w:val="single" w:color="auto" w:sz="6" w:space="0"/>
              <w:bottom w:val="single" w:color="auto" w:sz="6" w:space="0"/>
              <w:right w:val="single" w:color="auto" w:sz="4" w:space="0"/>
            </w:tcBorders>
            <w:shd w:val="clear" w:color="auto" w:fill="auto"/>
            <w:vAlign w:val="center"/>
          </w:tcPr>
          <w:p>
            <w:pPr>
              <w:keepNext/>
              <w:keepLines/>
              <w:widowControl/>
              <w:adjustRightInd w:val="0"/>
              <w:spacing w:before="160" w:after="160" w:line="240" w:lineRule="atLeast"/>
              <w:ind w:left="425" w:hanging="425"/>
              <w:jc w:val="center"/>
              <w:outlineLvl w:val="0"/>
              <w:rPr>
                <w:rFonts w:ascii="宋体" w:hAnsi="宋体" w:eastAsia="宋体" w:cs="宋体"/>
                <w:bCs/>
                <w:color w:val="000000"/>
                <w:szCs w:val="21"/>
              </w:rPr>
            </w:pPr>
            <w:bookmarkStart w:id="61" w:name="_Toc31648105"/>
            <w:bookmarkStart w:id="62" w:name="_Toc29548312"/>
            <w:bookmarkStart w:id="63" w:name="_Toc28594609"/>
            <w:bookmarkStart w:id="64" w:name="_Toc28591808"/>
            <w:r>
              <w:rPr>
                <w:rFonts w:hint="eastAsia" w:ascii="宋体" w:hAnsi="宋体" w:eastAsia="宋体" w:cs="宋体"/>
                <w:bCs/>
                <w:color w:val="000000"/>
                <w:szCs w:val="21"/>
              </w:rPr>
              <w:t>4</w:t>
            </w:r>
            <w:bookmarkEnd w:id="61"/>
            <w:bookmarkEnd w:id="62"/>
            <w:bookmarkEnd w:id="63"/>
            <w:bookmarkEnd w:id="64"/>
          </w:p>
        </w:tc>
        <w:tc>
          <w:tcPr>
            <w:tcW w:w="2358" w:type="dxa"/>
            <w:gridSpan w:val="2"/>
            <w:tcBorders>
              <w:top w:val="single" w:color="auto" w:sz="6" w:space="0"/>
              <w:left w:val="single" w:color="auto" w:sz="4" w:space="0"/>
              <w:bottom w:val="single" w:color="auto" w:sz="6" w:space="0"/>
              <w:right w:val="single" w:color="auto" w:sz="6" w:space="0"/>
            </w:tcBorders>
            <w:shd w:val="clear" w:color="auto" w:fill="auto"/>
            <w:vAlign w:val="center"/>
          </w:tcPr>
          <w:p>
            <w:pPr>
              <w:spacing w:line="420" w:lineRule="exact"/>
              <w:ind w:leftChars="-51" w:hanging="107" w:hangingChars="51"/>
              <w:jc w:val="center"/>
              <w:rPr>
                <w:rFonts w:ascii="宋体" w:hAnsi="宋体" w:eastAsia="宋体" w:cs="宋体"/>
                <w:color w:val="000000"/>
                <w:szCs w:val="21"/>
              </w:rPr>
            </w:pPr>
            <w:r>
              <w:rPr>
                <w:rFonts w:hint="eastAsia" w:ascii="宋体" w:hAnsi="宋体" w:eastAsia="宋体" w:cs="宋体"/>
                <w:szCs w:val="21"/>
              </w:rPr>
              <w:t>有依法缴纳税收和社会保障资金的良好记录</w:t>
            </w:r>
          </w:p>
        </w:tc>
        <w:tc>
          <w:tcPr>
            <w:tcW w:w="5837" w:type="dxa"/>
            <w:tcBorders>
              <w:top w:val="single" w:color="auto" w:sz="6" w:space="0"/>
              <w:left w:val="single" w:color="auto" w:sz="6" w:space="0"/>
              <w:bottom w:val="single" w:color="auto" w:sz="6" w:space="0"/>
              <w:right w:val="single" w:color="auto" w:sz="12" w:space="0"/>
            </w:tcBorders>
            <w:shd w:val="clear" w:color="auto" w:fill="auto"/>
            <w:vAlign w:val="center"/>
          </w:tcPr>
          <w:p>
            <w:pPr>
              <w:keepNext w:val="0"/>
              <w:keepLines w:val="0"/>
              <w:widowControl w:val="0"/>
              <w:suppressLineNumbers w:val="0"/>
              <w:spacing w:before="0" w:beforeAutospacing="0" w:after="0" w:afterAutospacing="0" w:line="420" w:lineRule="exact"/>
              <w:ind w:left="0" w:leftChars="0" w:right="0" w:rightChars="0"/>
              <w:jc w:val="left"/>
              <w:rPr>
                <w:rFonts w:ascii="宋体" w:hAnsi="宋体" w:eastAsia="宋体" w:cs="宋体"/>
                <w:color w:val="000000"/>
                <w:szCs w:val="21"/>
              </w:rPr>
            </w:pPr>
            <w:r>
              <w:rPr>
                <w:rFonts w:hint="eastAsia" w:ascii="宋体" w:hAnsi="宋体" w:eastAsia="宋体" w:cs="宋体"/>
                <w:color w:val="000000"/>
                <w:szCs w:val="21"/>
                <w:lang w:eastAsia="zh-CN"/>
              </w:rPr>
              <w:t>符合谈判文件要求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8" w:hRule="atLeast"/>
          <w:jc w:val="center"/>
        </w:trPr>
        <w:tc>
          <w:tcPr>
            <w:tcW w:w="1425" w:type="dxa"/>
            <w:gridSpan w:val="2"/>
            <w:vMerge w:val="continue"/>
            <w:tcBorders>
              <w:top w:val="single" w:color="auto" w:sz="12" w:space="0"/>
              <w:left w:val="single" w:color="auto" w:sz="12" w:space="0"/>
              <w:bottom w:val="single" w:color="auto" w:sz="12" w:space="0"/>
              <w:right w:val="single" w:color="auto" w:sz="6" w:space="0"/>
            </w:tcBorders>
            <w:shd w:val="clear" w:color="auto" w:fill="auto"/>
            <w:vAlign w:val="center"/>
          </w:tcPr>
          <w:p>
            <w:pPr>
              <w:rPr>
                <w:rFonts w:ascii="Calibri" w:hAnsi="Calibri" w:cs="Calibri"/>
                <w:sz w:val="20"/>
                <w:szCs w:val="20"/>
              </w:rPr>
            </w:pPr>
          </w:p>
        </w:tc>
        <w:tc>
          <w:tcPr>
            <w:tcW w:w="487" w:type="dxa"/>
            <w:tcBorders>
              <w:top w:val="single" w:color="auto" w:sz="6" w:space="0"/>
              <w:left w:val="single" w:color="auto" w:sz="6" w:space="0"/>
              <w:bottom w:val="single" w:color="auto" w:sz="6" w:space="0"/>
              <w:right w:val="single" w:color="auto" w:sz="4" w:space="0"/>
            </w:tcBorders>
            <w:shd w:val="clear" w:color="auto" w:fill="auto"/>
            <w:vAlign w:val="center"/>
          </w:tcPr>
          <w:p>
            <w:pPr>
              <w:keepNext/>
              <w:keepLines/>
              <w:widowControl/>
              <w:adjustRightInd w:val="0"/>
              <w:spacing w:before="160" w:after="160" w:line="240" w:lineRule="atLeast"/>
              <w:ind w:left="425" w:hanging="425"/>
              <w:jc w:val="center"/>
              <w:outlineLvl w:val="0"/>
              <w:rPr>
                <w:rFonts w:ascii="宋体" w:hAnsi="宋体" w:eastAsia="宋体" w:cs="宋体"/>
                <w:bCs/>
                <w:color w:val="000000"/>
                <w:szCs w:val="21"/>
              </w:rPr>
            </w:pPr>
            <w:bookmarkStart w:id="65" w:name="_Toc31648106"/>
            <w:bookmarkStart w:id="66" w:name="_Toc29548313"/>
            <w:bookmarkStart w:id="67" w:name="_Toc28594610"/>
            <w:bookmarkStart w:id="68" w:name="_Toc28591809"/>
            <w:r>
              <w:rPr>
                <w:rFonts w:hint="eastAsia" w:ascii="宋体" w:hAnsi="宋体" w:eastAsia="宋体" w:cs="宋体"/>
                <w:bCs/>
                <w:color w:val="000000"/>
                <w:szCs w:val="21"/>
              </w:rPr>
              <w:t>5</w:t>
            </w:r>
            <w:bookmarkEnd w:id="65"/>
            <w:bookmarkEnd w:id="66"/>
            <w:bookmarkEnd w:id="67"/>
            <w:bookmarkEnd w:id="68"/>
          </w:p>
        </w:tc>
        <w:tc>
          <w:tcPr>
            <w:tcW w:w="2358" w:type="dxa"/>
            <w:gridSpan w:val="2"/>
            <w:tcBorders>
              <w:top w:val="single" w:color="auto" w:sz="6" w:space="0"/>
              <w:left w:val="single" w:color="auto" w:sz="4" w:space="0"/>
              <w:bottom w:val="single" w:color="auto" w:sz="6" w:space="0"/>
              <w:right w:val="single" w:color="auto" w:sz="6" w:space="0"/>
            </w:tcBorders>
            <w:shd w:val="clear" w:color="auto" w:fill="auto"/>
            <w:vAlign w:val="center"/>
          </w:tcPr>
          <w:p>
            <w:pPr>
              <w:spacing w:line="420" w:lineRule="exact"/>
              <w:ind w:leftChars="-51" w:hanging="107" w:hangingChars="51"/>
              <w:jc w:val="center"/>
              <w:rPr>
                <w:rFonts w:ascii="宋体" w:hAnsi="宋体" w:eastAsia="宋体" w:cs="宋体"/>
                <w:color w:val="000000"/>
                <w:szCs w:val="21"/>
              </w:rPr>
            </w:pPr>
            <w:r>
              <w:rPr>
                <w:rFonts w:hint="eastAsia" w:ascii="宋体" w:hAnsi="宋体" w:eastAsia="宋体" w:cs="宋体"/>
                <w:szCs w:val="21"/>
              </w:rPr>
              <w:t>参加政府采购活动前三年内，在经营活动中没有重大违法记录</w:t>
            </w:r>
          </w:p>
        </w:tc>
        <w:tc>
          <w:tcPr>
            <w:tcW w:w="5837" w:type="dxa"/>
            <w:tcBorders>
              <w:top w:val="single" w:color="auto" w:sz="6" w:space="0"/>
              <w:left w:val="single" w:color="auto" w:sz="6" w:space="0"/>
              <w:bottom w:val="single" w:color="auto" w:sz="6" w:space="0"/>
              <w:right w:val="single" w:color="auto" w:sz="12" w:space="0"/>
            </w:tcBorders>
            <w:shd w:val="clear" w:color="auto" w:fill="auto"/>
            <w:vAlign w:val="center"/>
          </w:tcPr>
          <w:p>
            <w:pPr>
              <w:keepNext w:val="0"/>
              <w:keepLines w:val="0"/>
              <w:widowControl w:val="0"/>
              <w:suppressLineNumbers w:val="0"/>
              <w:spacing w:before="0" w:beforeAutospacing="0" w:after="0" w:afterAutospacing="0" w:line="420" w:lineRule="exact"/>
              <w:ind w:left="0" w:leftChars="0" w:right="0" w:rightChars="0"/>
              <w:jc w:val="left"/>
              <w:rPr>
                <w:rFonts w:ascii="宋体" w:hAnsi="宋体" w:eastAsia="宋体" w:cs="宋体"/>
                <w:color w:val="000000"/>
                <w:szCs w:val="21"/>
              </w:rPr>
            </w:pPr>
            <w:r>
              <w:rPr>
                <w:rFonts w:hint="eastAsia" w:ascii="宋体" w:hAnsi="宋体" w:eastAsia="宋体" w:cs="宋体"/>
                <w:color w:val="000000"/>
                <w:szCs w:val="21"/>
                <w:lang w:eastAsia="zh-CN"/>
              </w:rPr>
              <w:t>符合谈判文件要求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0" w:hRule="atLeast"/>
          <w:jc w:val="center"/>
        </w:trPr>
        <w:tc>
          <w:tcPr>
            <w:tcW w:w="1425" w:type="dxa"/>
            <w:gridSpan w:val="2"/>
            <w:vMerge w:val="continue"/>
            <w:tcBorders>
              <w:top w:val="single" w:color="auto" w:sz="12" w:space="0"/>
              <w:left w:val="single" w:color="auto" w:sz="12" w:space="0"/>
              <w:bottom w:val="single" w:color="auto" w:sz="12" w:space="0"/>
              <w:right w:val="single" w:color="auto" w:sz="6" w:space="0"/>
            </w:tcBorders>
            <w:shd w:val="clear" w:color="auto" w:fill="auto"/>
            <w:vAlign w:val="center"/>
          </w:tcPr>
          <w:p>
            <w:pPr>
              <w:rPr>
                <w:rFonts w:ascii="Calibri" w:hAnsi="Calibri" w:cs="Calibri"/>
                <w:sz w:val="20"/>
                <w:szCs w:val="20"/>
              </w:rPr>
            </w:pPr>
          </w:p>
        </w:tc>
        <w:tc>
          <w:tcPr>
            <w:tcW w:w="487" w:type="dxa"/>
            <w:tcBorders>
              <w:top w:val="single" w:color="auto" w:sz="6" w:space="0"/>
              <w:left w:val="single" w:color="auto" w:sz="6" w:space="0"/>
              <w:bottom w:val="single" w:color="auto" w:sz="6" w:space="0"/>
              <w:right w:val="single" w:color="auto" w:sz="4" w:space="0"/>
            </w:tcBorders>
            <w:shd w:val="clear" w:color="auto" w:fill="auto"/>
            <w:vAlign w:val="center"/>
          </w:tcPr>
          <w:p>
            <w:pPr>
              <w:keepNext/>
              <w:keepLines/>
              <w:widowControl/>
              <w:adjustRightInd w:val="0"/>
              <w:spacing w:before="160" w:after="160" w:line="240" w:lineRule="atLeast"/>
              <w:ind w:left="425" w:hanging="425"/>
              <w:jc w:val="center"/>
              <w:outlineLvl w:val="0"/>
              <w:rPr>
                <w:rFonts w:ascii="宋体" w:hAnsi="宋体" w:eastAsia="宋体" w:cs="宋体"/>
                <w:bCs/>
                <w:color w:val="000000"/>
                <w:szCs w:val="21"/>
              </w:rPr>
            </w:pPr>
            <w:bookmarkStart w:id="69" w:name="_Toc31648110"/>
            <w:r>
              <w:rPr>
                <w:rFonts w:hint="eastAsia" w:ascii="宋体" w:hAnsi="宋体" w:eastAsia="宋体" w:cs="宋体"/>
                <w:bCs/>
                <w:color w:val="000000"/>
                <w:szCs w:val="21"/>
              </w:rPr>
              <w:t>7</w:t>
            </w:r>
            <w:bookmarkEnd w:id="69"/>
          </w:p>
        </w:tc>
        <w:tc>
          <w:tcPr>
            <w:tcW w:w="2358" w:type="dxa"/>
            <w:gridSpan w:val="2"/>
            <w:tcBorders>
              <w:top w:val="single" w:color="auto" w:sz="6" w:space="0"/>
              <w:left w:val="single" w:color="auto" w:sz="4" w:space="0"/>
              <w:bottom w:val="single" w:color="auto" w:sz="6" w:space="0"/>
              <w:right w:val="single" w:color="auto" w:sz="6" w:space="0"/>
            </w:tcBorders>
            <w:shd w:val="clear" w:color="auto" w:fill="auto"/>
            <w:vAlign w:val="center"/>
          </w:tcPr>
          <w:p>
            <w:pPr>
              <w:keepNext/>
              <w:keepLines/>
              <w:widowControl/>
              <w:adjustRightInd w:val="0"/>
              <w:spacing w:before="160" w:after="160" w:line="240" w:lineRule="atLeast"/>
              <w:ind w:left="425" w:hanging="425"/>
              <w:jc w:val="center"/>
              <w:outlineLvl w:val="0"/>
              <w:rPr>
                <w:rFonts w:ascii="宋体" w:hAnsi="宋体" w:eastAsia="宋体" w:cs="宋体"/>
                <w:bCs/>
                <w:color w:val="000000"/>
                <w:szCs w:val="21"/>
              </w:rPr>
            </w:pPr>
            <w:bookmarkStart w:id="70" w:name="_Toc31648111"/>
            <w:bookmarkStart w:id="71" w:name="_Toc29548315"/>
            <w:bookmarkStart w:id="72" w:name="_Toc28594614"/>
            <w:bookmarkStart w:id="73" w:name="_Toc28591813"/>
            <w:bookmarkStart w:id="74" w:name="_Toc16508425"/>
            <w:r>
              <w:rPr>
                <w:rFonts w:hint="eastAsia" w:ascii="宋体" w:hAnsi="宋体" w:eastAsia="宋体" w:cs="宋体"/>
                <w:bCs/>
                <w:color w:val="000000"/>
                <w:szCs w:val="21"/>
              </w:rPr>
              <w:t>信用中国查询</w:t>
            </w:r>
            <w:bookmarkEnd w:id="70"/>
            <w:bookmarkEnd w:id="71"/>
            <w:bookmarkEnd w:id="72"/>
            <w:bookmarkEnd w:id="73"/>
            <w:bookmarkEnd w:id="74"/>
          </w:p>
        </w:tc>
        <w:tc>
          <w:tcPr>
            <w:tcW w:w="5837" w:type="dxa"/>
            <w:tcBorders>
              <w:top w:val="single" w:color="auto" w:sz="6" w:space="0"/>
              <w:left w:val="single" w:color="auto" w:sz="6" w:space="0"/>
              <w:bottom w:val="single" w:color="auto" w:sz="6" w:space="0"/>
              <w:right w:val="single" w:color="auto" w:sz="12" w:space="0"/>
            </w:tcBorders>
            <w:shd w:val="clear" w:color="auto" w:fill="auto"/>
            <w:vAlign w:val="center"/>
          </w:tcPr>
          <w:p>
            <w:pPr>
              <w:keepNext/>
              <w:keepLines/>
              <w:widowControl/>
              <w:suppressLineNumbers w:val="0"/>
              <w:adjustRightInd w:val="0"/>
              <w:spacing w:before="160" w:beforeAutospacing="0" w:after="160" w:afterAutospacing="0" w:line="240" w:lineRule="atLeast"/>
              <w:ind w:left="0" w:leftChars="0" w:right="0" w:rightChars="0" w:firstLine="315" w:firstLineChars="150"/>
              <w:jc w:val="both"/>
              <w:outlineLvl w:val="0"/>
              <w:rPr>
                <w:rFonts w:ascii="宋体" w:hAnsi="宋体" w:eastAsia="宋体" w:cs="宋体"/>
                <w:bCs/>
                <w:color w:val="000000"/>
                <w:szCs w:val="21"/>
              </w:rPr>
            </w:pPr>
            <w:r>
              <w:rPr>
                <w:rFonts w:hint="eastAsia" w:ascii="宋体" w:hAnsi="宋体" w:eastAsia="宋体" w:cs="宋体"/>
                <w:color w:val="000000"/>
                <w:szCs w:val="21"/>
                <w:lang w:eastAsia="zh-CN"/>
              </w:rPr>
              <w:t>符合谈判文件要求</w:t>
            </w:r>
            <w:r>
              <w:rPr>
                <w:rFonts w:hint="eastAsia" w:ascii="宋体" w:hAnsi="宋体" w:eastAsia="宋体" w:cs="宋体"/>
                <w:bCs/>
                <w:color w:val="000000"/>
                <w:szCs w:val="21"/>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7" w:hRule="atLeast"/>
          <w:jc w:val="center"/>
        </w:trPr>
        <w:tc>
          <w:tcPr>
            <w:tcW w:w="1425" w:type="dxa"/>
            <w:gridSpan w:val="2"/>
            <w:vMerge w:val="restart"/>
            <w:tcBorders>
              <w:top w:val="single" w:color="auto" w:sz="6" w:space="0"/>
              <w:left w:val="single" w:color="auto" w:sz="12" w:space="0"/>
              <w:bottom w:val="single" w:color="auto" w:sz="12" w:space="0"/>
              <w:right w:val="single" w:color="auto" w:sz="6" w:space="0"/>
            </w:tcBorders>
            <w:shd w:val="clear" w:color="auto" w:fill="auto"/>
            <w:vAlign w:val="center"/>
          </w:tcPr>
          <w:p>
            <w:pPr>
              <w:spacing w:line="500" w:lineRule="exact"/>
              <w:jc w:val="center"/>
              <w:rPr>
                <w:rFonts w:ascii="宋体" w:hAnsi="Calibri" w:eastAsia="宋体" w:cs="宋体"/>
                <w:kern w:val="0"/>
                <w:szCs w:val="21"/>
              </w:rPr>
            </w:pPr>
            <w:r>
              <w:rPr>
                <w:rFonts w:hint="eastAsia" w:ascii="宋体" w:hAnsi="宋体" w:eastAsia="宋体" w:cs="宋体"/>
                <w:kern w:val="0"/>
                <w:szCs w:val="21"/>
              </w:rPr>
              <w:t>2.1.3响应性评审</w:t>
            </w:r>
          </w:p>
        </w:tc>
        <w:tc>
          <w:tcPr>
            <w:tcW w:w="487" w:type="dxa"/>
            <w:tcBorders>
              <w:top w:val="single" w:color="auto" w:sz="6" w:space="0"/>
              <w:left w:val="single" w:color="auto" w:sz="6" w:space="0"/>
              <w:bottom w:val="single" w:color="auto" w:sz="6"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500" w:lineRule="exact"/>
              <w:ind w:left="0" w:leftChars="0" w:right="0" w:rightChars="0"/>
              <w:jc w:val="center"/>
              <w:rPr>
                <w:rFonts w:ascii="宋体" w:hAnsi="宋体" w:eastAsia="宋体" w:cs="宋体"/>
                <w:kern w:val="0"/>
                <w:szCs w:val="21"/>
              </w:rPr>
            </w:pPr>
            <w:r>
              <w:rPr>
                <w:rFonts w:hint="eastAsia" w:ascii="宋体" w:hAnsi="宋体" w:eastAsia="宋体" w:cs="宋体"/>
                <w:kern w:val="0"/>
                <w:szCs w:val="21"/>
                <w:lang w:val="en-US"/>
              </w:rPr>
              <w:t>1</w:t>
            </w:r>
          </w:p>
        </w:tc>
        <w:tc>
          <w:tcPr>
            <w:tcW w:w="2358" w:type="dxa"/>
            <w:gridSpan w:val="2"/>
            <w:tcBorders>
              <w:top w:val="single" w:color="auto" w:sz="6" w:space="0"/>
              <w:left w:val="single" w:color="auto" w:sz="4"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520" w:lineRule="exact"/>
              <w:ind w:left="0" w:leftChars="0" w:right="0" w:rightChars="0"/>
              <w:jc w:val="center"/>
              <w:rPr>
                <w:rFonts w:ascii="宋体" w:hAnsi="Calibri" w:eastAsia="宋体" w:cs="宋体"/>
                <w:kern w:val="0"/>
                <w:szCs w:val="21"/>
              </w:rPr>
            </w:pPr>
            <w:r>
              <w:rPr>
                <w:rFonts w:hint="eastAsia" w:ascii="宋体" w:hAnsi="宋体" w:eastAsia="宋体" w:cs="宋体"/>
                <w:szCs w:val="21"/>
                <w:highlight w:val="none"/>
                <w:lang w:eastAsia="zh-CN"/>
              </w:rPr>
              <w:t>交货期</w:t>
            </w:r>
          </w:p>
        </w:tc>
        <w:tc>
          <w:tcPr>
            <w:tcW w:w="5837" w:type="dxa"/>
            <w:tcBorders>
              <w:top w:val="single" w:color="auto" w:sz="6" w:space="0"/>
              <w:left w:val="single" w:color="auto" w:sz="6" w:space="0"/>
              <w:bottom w:val="single" w:color="auto" w:sz="6" w:space="0"/>
              <w:right w:val="single" w:color="auto" w:sz="12" w:space="0"/>
            </w:tcBorders>
            <w:shd w:val="clear" w:color="auto" w:fill="auto"/>
            <w:vAlign w:val="top"/>
          </w:tcPr>
          <w:p>
            <w:pPr>
              <w:keepNext w:val="0"/>
              <w:keepLines w:val="0"/>
              <w:widowControl w:val="0"/>
              <w:suppressLineNumbers w:val="0"/>
              <w:spacing w:before="0" w:beforeAutospacing="0" w:after="0" w:afterAutospacing="0" w:line="520" w:lineRule="exact"/>
              <w:ind w:left="0" w:leftChars="0" w:right="0" w:rightChars="0"/>
              <w:jc w:val="both"/>
              <w:rPr>
                <w:rFonts w:ascii="宋体" w:hAnsi="宋体" w:eastAsia="宋体" w:cs="宋体"/>
                <w:szCs w:val="21"/>
              </w:rPr>
            </w:pPr>
            <w:r>
              <w:rPr>
                <w:rFonts w:hint="eastAsia" w:ascii="宋体" w:hAnsi="宋体" w:eastAsia="宋体" w:cs="宋体"/>
                <w:szCs w:val="21"/>
                <w:highlight w:val="none"/>
              </w:rPr>
              <w:t>合同签订后</w:t>
            </w:r>
            <w:r>
              <w:rPr>
                <w:rFonts w:hint="eastAsia" w:ascii="宋体" w:hAnsi="宋体" w:eastAsia="宋体" w:cs="宋体"/>
                <w:szCs w:val="21"/>
                <w:highlight w:val="none"/>
                <w:lang w:val="en-US" w:eastAsia="zh-CN"/>
              </w:rPr>
              <w:t>3</w:t>
            </w:r>
            <w:r>
              <w:rPr>
                <w:rFonts w:hint="eastAsia" w:ascii="宋体" w:hAnsi="宋体" w:eastAsia="宋体" w:cs="宋体"/>
                <w:szCs w:val="21"/>
                <w:highlight w:val="none"/>
                <w:lang w:val="en-US"/>
              </w:rPr>
              <w:t>0</w:t>
            </w:r>
            <w:r>
              <w:rPr>
                <w:rFonts w:hint="eastAsia" w:ascii="宋体" w:hAnsi="宋体" w:eastAsia="宋体" w:cs="宋体"/>
                <w:szCs w:val="21"/>
                <w:highlight w:val="none"/>
              </w:rPr>
              <w:t>日历天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8" w:hRule="atLeast"/>
          <w:jc w:val="center"/>
        </w:trPr>
        <w:tc>
          <w:tcPr>
            <w:tcW w:w="1425" w:type="dxa"/>
            <w:gridSpan w:val="2"/>
            <w:vMerge w:val="continue"/>
            <w:tcBorders>
              <w:top w:val="single" w:color="auto" w:sz="6" w:space="0"/>
              <w:left w:val="single" w:color="auto" w:sz="12" w:space="0"/>
              <w:bottom w:val="single" w:color="auto" w:sz="12" w:space="0"/>
              <w:right w:val="single" w:color="auto" w:sz="6" w:space="0"/>
            </w:tcBorders>
            <w:shd w:val="clear" w:color="auto" w:fill="auto"/>
            <w:vAlign w:val="center"/>
          </w:tcPr>
          <w:p>
            <w:pPr>
              <w:rPr>
                <w:rFonts w:ascii="Calibri" w:hAnsi="Calibri" w:cs="Calibri"/>
                <w:sz w:val="20"/>
                <w:szCs w:val="20"/>
              </w:rPr>
            </w:pPr>
          </w:p>
        </w:tc>
        <w:tc>
          <w:tcPr>
            <w:tcW w:w="487" w:type="dxa"/>
            <w:tcBorders>
              <w:top w:val="single" w:color="auto" w:sz="6" w:space="0"/>
              <w:left w:val="single" w:color="auto" w:sz="6" w:space="0"/>
              <w:bottom w:val="single" w:color="auto" w:sz="6"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500" w:lineRule="exact"/>
              <w:ind w:left="0" w:leftChars="0" w:right="0" w:rightChars="0"/>
              <w:jc w:val="center"/>
              <w:rPr>
                <w:rFonts w:ascii="宋体" w:hAnsi="宋体" w:eastAsia="宋体" w:cs="宋体"/>
                <w:kern w:val="0"/>
                <w:szCs w:val="21"/>
              </w:rPr>
            </w:pPr>
            <w:r>
              <w:rPr>
                <w:rFonts w:hint="eastAsia" w:ascii="宋体" w:hAnsi="宋体" w:eastAsia="宋体" w:cs="宋体"/>
                <w:kern w:val="0"/>
                <w:szCs w:val="21"/>
                <w:lang w:val="en-US" w:eastAsia="zh-CN"/>
              </w:rPr>
              <w:t>2</w:t>
            </w:r>
          </w:p>
        </w:tc>
        <w:tc>
          <w:tcPr>
            <w:tcW w:w="2358" w:type="dxa"/>
            <w:gridSpan w:val="2"/>
            <w:tcBorders>
              <w:top w:val="single" w:color="auto" w:sz="6" w:space="0"/>
              <w:left w:val="single" w:color="auto" w:sz="4"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520" w:lineRule="exact"/>
              <w:ind w:left="0" w:leftChars="0" w:right="0" w:rightChars="0"/>
              <w:jc w:val="center"/>
              <w:rPr>
                <w:rFonts w:ascii="宋体" w:hAnsi="Calibri" w:eastAsia="宋体" w:cs="宋体"/>
                <w:kern w:val="0"/>
                <w:szCs w:val="21"/>
              </w:rPr>
            </w:pPr>
            <w:r>
              <w:rPr>
                <w:rFonts w:hint="eastAsia" w:ascii="宋体" w:hAnsi="宋体" w:eastAsia="宋体" w:cs="宋体"/>
                <w:szCs w:val="21"/>
                <w:highlight w:val="none"/>
                <w:lang w:eastAsia="zh-CN"/>
              </w:rPr>
              <w:t>质保期</w:t>
            </w:r>
          </w:p>
        </w:tc>
        <w:tc>
          <w:tcPr>
            <w:tcW w:w="5837" w:type="dxa"/>
            <w:tcBorders>
              <w:top w:val="single" w:color="auto" w:sz="6" w:space="0"/>
              <w:left w:val="single" w:color="auto" w:sz="6" w:space="0"/>
              <w:bottom w:val="single" w:color="auto" w:sz="6" w:space="0"/>
              <w:right w:val="single" w:color="auto" w:sz="12"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both"/>
              <w:rPr>
                <w:rFonts w:ascii="宋体" w:hAnsi="Calibri" w:eastAsia="宋体" w:cs="宋体"/>
                <w:kern w:val="0"/>
                <w:szCs w:val="21"/>
              </w:rPr>
            </w:pPr>
            <w:r>
              <w:rPr>
                <w:rFonts w:hint="eastAsia" w:ascii="宋体" w:hAnsi="宋体" w:eastAsia="宋体" w:cs="宋体"/>
                <w:kern w:val="0"/>
                <w:szCs w:val="21"/>
                <w:highlight w:val="none"/>
                <w:lang w:val="en-US" w:eastAsia="zh-CN"/>
              </w:rPr>
              <w:t>一年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2" w:hRule="atLeast"/>
          <w:jc w:val="center"/>
        </w:trPr>
        <w:tc>
          <w:tcPr>
            <w:tcW w:w="1425" w:type="dxa"/>
            <w:gridSpan w:val="2"/>
            <w:vMerge w:val="continue"/>
            <w:tcBorders>
              <w:top w:val="single" w:color="auto" w:sz="6" w:space="0"/>
              <w:left w:val="single" w:color="auto" w:sz="12" w:space="0"/>
              <w:bottom w:val="single" w:color="auto" w:sz="12" w:space="0"/>
              <w:right w:val="single" w:color="auto" w:sz="6" w:space="0"/>
            </w:tcBorders>
            <w:shd w:val="clear" w:color="auto" w:fill="auto"/>
            <w:vAlign w:val="center"/>
          </w:tcPr>
          <w:p>
            <w:pPr>
              <w:rPr>
                <w:rFonts w:ascii="Calibri" w:hAnsi="Calibri" w:cs="Calibri"/>
                <w:sz w:val="20"/>
                <w:szCs w:val="20"/>
              </w:rPr>
            </w:pPr>
          </w:p>
        </w:tc>
        <w:tc>
          <w:tcPr>
            <w:tcW w:w="487" w:type="dxa"/>
            <w:tcBorders>
              <w:top w:val="single" w:color="auto" w:sz="6" w:space="0"/>
              <w:left w:val="single" w:color="auto" w:sz="6" w:space="0"/>
              <w:bottom w:val="single" w:color="auto" w:sz="6"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500" w:lineRule="exact"/>
              <w:ind w:left="0" w:leftChars="0" w:right="0" w:rightChars="0"/>
              <w:jc w:val="center"/>
              <w:rPr>
                <w:rFonts w:ascii="宋体" w:hAnsi="宋体" w:eastAsia="宋体" w:cs="宋体"/>
                <w:kern w:val="0"/>
                <w:szCs w:val="21"/>
              </w:rPr>
            </w:pPr>
            <w:r>
              <w:rPr>
                <w:rFonts w:hint="eastAsia" w:ascii="宋体" w:hAnsi="宋体" w:eastAsia="宋体" w:cs="宋体"/>
                <w:kern w:val="0"/>
                <w:szCs w:val="21"/>
                <w:lang w:val="en-US" w:eastAsia="zh-CN"/>
              </w:rPr>
              <w:t>3</w:t>
            </w:r>
          </w:p>
        </w:tc>
        <w:tc>
          <w:tcPr>
            <w:tcW w:w="2358" w:type="dxa"/>
            <w:gridSpan w:val="2"/>
            <w:tcBorders>
              <w:top w:val="single" w:color="auto" w:sz="6" w:space="0"/>
              <w:left w:val="single" w:color="auto" w:sz="4"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520" w:lineRule="exact"/>
              <w:ind w:left="0" w:leftChars="0" w:right="0" w:rightChars="0"/>
              <w:jc w:val="center"/>
              <w:rPr>
                <w:rFonts w:ascii="宋体" w:hAnsi="宋体" w:eastAsia="宋体" w:cs="宋体"/>
                <w:szCs w:val="21"/>
              </w:rPr>
            </w:pPr>
            <w:r>
              <w:rPr>
                <w:rFonts w:hint="eastAsia" w:ascii="宋体" w:hAnsi="宋体" w:eastAsia="宋体" w:cs="宋体"/>
                <w:szCs w:val="21"/>
                <w:highlight w:val="none"/>
              </w:rPr>
              <w:t>质量要求</w:t>
            </w:r>
          </w:p>
        </w:tc>
        <w:tc>
          <w:tcPr>
            <w:tcW w:w="5837" w:type="dxa"/>
            <w:tcBorders>
              <w:top w:val="single" w:color="auto" w:sz="6" w:space="0"/>
              <w:left w:val="single" w:color="auto" w:sz="6" w:space="0"/>
              <w:bottom w:val="single" w:color="auto" w:sz="6" w:space="0"/>
              <w:right w:val="single" w:color="auto" w:sz="12" w:space="0"/>
            </w:tcBorders>
            <w:shd w:val="clear" w:color="auto" w:fill="auto"/>
            <w:vAlign w:val="center"/>
          </w:tcPr>
          <w:p>
            <w:pPr>
              <w:keepNext w:val="0"/>
              <w:keepLines w:val="0"/>
              <w:widowControl w:val="0"/>
              <w:suppressLineNumbers w:val="0"/>
              <w:spacing w:before="0" w:beforeAutospacing="0" w:after="0" w:afterAutospacing="0" w:line="400" w:lineRule="exact"/>
              <w:ind w:left="0" w:leftChars="0" w:right="0" w:rightChars="0"/>
              <w:jc w:val="both"/>
              <w:rPr>
                <w:rFonts w:ascii="宋体" w:hAnsi="宋体" w:eastAsia="宋体" w:cs="宋体"/>
                <w:kern w:val="0"/>
                <w:szCs w:val="21"/>
              </w:rPr>
            </w:pPr>
            <w:r>
              <w:rPr>
                <w:rFonts w:hint="eastAsia" w:ascii="宋体" w:hAnsi="宋体" w:eastAsia="宋体" w:cs="宋体"/>
                <w:kern w:val="0"/>
                <w:szCs w:val="21"/>
                <w:highlight w:val="none"/>
                <w:lang w:val="en-US" w:eastAsia="zh-CN"/>
              </w:rPr>
              <w:t xml:space="preserve"> 符合国家相关行业标准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2" w:hRule="atLeast"/>
          <w:jc w:val="center"/>
        </w:trPr>
        <w:tc>
          <w:tcPr>
            <w:tcW w:w="1425" w:type="dxa"/>
            <w:gridSpan w:val="2"/>
            <w:vMerge w:val="continue"/>
            <w:tcBorders>
              <w:top w:val="single" w:color="auto" w:sz="6" w:space="0"/>
              <w:left w:val="single" w:color="auto" w:sz="12" w:space="0"/>
              <w:bottom w:val="single" w:color="auto" w:sz="12" w:space="0"/>
              <w:right w:val="single" w:color="auto" w:sz="6" w:space="0"/>
            </w:tcBorders>
            <w:shd w:val="clear" w:color="auto" w:fill="auto"/>
            <w:vAlign w:val="center"/>
          </w:tcPr>
          <w:p>
            <w:pPr>
              <w:rPr>
                <w:rFonts w:ascii="Calibri" w:hAnsi="Calibri" w:cs="Calibri"/>
                <w:sz w:val="20"/>
                <w:szCs w:val="20"/>
              </w:rPr>
            </w:pPr>
          </w:p>
        </w:tc>
        <w:tc>
          <w:tcPr>
            <w:tcW w:w="487" w:type="dxa"/>
            <w:tcBorders>
              <w:top w:val="single" w:color="auto" w:sz="6" w:space="0"/>
              <w:left w:val="single" w:color="auto" w:sz="6" w:space="0"/>
              <w:bottom w:val="single" w:color="auto" w:sz="6"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500" w:lineRule="exact"/>
              <w:ind w:left="0" w:leftChars="0" w:right="0" w:rightChars="0"/>
              <w:jc w:val="center"/>
              <w:rPr>
                <w:rFonts w:ascii="宋体" w:hAnsi="宋体" w:eastAsia="宋体" w:cs="宋体"/>
                <w:kern w:val="0"/>
                <w:szCs w:val="21"/>
              </w:rPr>
            </w:pPr>
            <w:r>
              <w:rPr>
                <w:rFonts w:hint="eastAsia" w:ascii="宋体" w:hAnsi="宋体" w:eastAsia="宋体" w:cs="宋体"/>
                <w:kern w:val="0"/>
                <w:szCs w:val="21"/>
                <w:lang w:val="en-US" w:eastAsia="zh-CN"/>
              </w:rPr>
              <w:t>4</w:t>
            </w:r>
          </w:p>
        </w:tc>
        <w:tc>
          <w:tcPr>
            <w:tcW w:w="2358" w:type="dxa"/>
            <w:gridSpan w:val="2"/>
            <w:tcBorders>
              <w:top w:val="single" w:color="auto" w:sz="6" w:space="0"/>
              <w:left w:val="single" w:color="auto" w:sz="4"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500" w:lineRule="exact"/>
              <w:ind w:left="0" w:leftChars="0" w:right="0" w:rightChars="0"/>
              <w:jc w:val="center"/>
              <w:rPr>
                <w:rFonts w:ascii="宋体" w:hAnsi="宋体" w:eastAsia="宋体" w:cs="宋体"/>
                <w:kern w:val="0"/>
                <w:szCs w:val="21"/>
              </w:rPr>
            </w:pPr>
            <w:r>
              <w:rPr>
                <w:rFonts w:hint="eastAsia" w:ascii="宋体" w:hAnsi="宋体" w:eastAsia="宋体" w:cs="宋体"/>
                <w:kern w:val="0"/>
                <w:szCs w:val="21"/>
                <w:highlight w:val="none"/>
              </w:rPr>
              <w:t>谈判有效期</w:t>
            </w:r>
          </w:p>
        </w:tc>
        <w:tc>
          <w:tcPr>
            <w:tcW w:w="5837" w:type="dxa"/>
            <w:tcBorders>
              <w:top w:val="single" w:color="auto" w:sz="6" w:space="0"/>
              <w:left w:val="single" w:color="auto" w:sz="6" w:space="0"/>
              <w:bottom w:val="single" w:color="auto" w:sz="6" w:space="0"/>
              <w:right w:val="single" w:color="auto" w:sz="12" w:space="0"/>
            </w:tcBorders>
            <w:shd w:val="clear" w:color="auto" w:fill="auto"/>
            <w:vAlign w:val="center"/>
          </w:tcPr>
          <w:p>
            <w:pPr>
              <w:keepNext w:val="0"/>
              <w:keepLines w:val="0"/>
              <w:widowControl w:val="0"/>
              <w:suppressLineNumbers w:val="0"/>
              <w:spacing w:before="0" w:beforeAutospacing="0" w:after="0" w:afterAutospacing="0" w:line="500" w:lineRule="exact"/>
              <w:ind w:left="0" w:leftChars="0" w:right="0" w:rightChars="0"/>
              <w:jc w:val="both"/>
              <w:rPr>
                <w:rFonts w:ascii="宋体" w:hAnsi="宋体" w:eastAsia="宋体" w:cs="宋体"/>
                <w:kern w:val="0"/>
                <w:szCs w:val="21"/>
              </w:rPr>
            </w:pPr>
            <w:r>
              <w:rPr>
                <w:rFonts w:hint="eastAsia" w:ascii="宋体" w:hAnsi="宋体" w:eastAsia="宋体" w:cs="宋体"/>
                <w:kern w:val="0"/>
                <w:szCs w:val="21"/>
                <w:highlight w:val="none"/>
              </w:rPr>
              <w:t>谈判截止之日起</w:t>
            </w:r>
            <w:r>
              <w:rPr>
                <w:rFonts w:hint="eastAsia" w:ascii="宋体" w:hAnsi="宋体" w:eastAsia="宋体" w:cs="宋体"/>
                <w:kern w:val="0"/>
                <w:szCs w:val="21"/>
                <w:highlight w:val="none"/>
                <w:lang w:val="en-US"/>
              </w:rPr>
              <w:t>60</w:t>
            </w:r>
            <w:r>
              <w:rPr>
                <w:rFonts w:hint="eastAsia" w:ascii="宋体" w:hAnsi="宋体" w:eastAsia="宋体" w:cs="宋体"/>
                <w:kern w:val="0"/>
                <w:szCs w:val="21"/>
                <w:highlight w:val="none"/>
              </w:rPr>
              <w:t>日历天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7" w:hRule="atLeast"/>
          <w:jc w:val="center"/>
        </w:trPr>
        <w:tc>
          <w:tcPr>
            <w:tcW w:w="1425" w:type="dxa"/>
            <w:gridSpan w:val="2"/>
            <w:vMerge w:val="continue"/>
            <w:tcBorders>
              <w:top w:val="single" w:color="auto" w:sz="6" w:space="0"/>
              <w:left w:val="single" w:color="auto" w:sz="12" w:space="0"/>
              <w:bottom w:val="single" w:color="auto" w:sz="12" w:space="0"/>
              <w:right w:val="single" w:color="auto" w:sz="6" w:space="0"/>
            </w:tcBorders>
            <w:shd w:val="clear" w:color="auto" w:fill="auto"/>
            <w:vAlign w:val="center"/>
          </w:tcPr>
          <w:p>
            <w:pPr>
              <w:rPr>
                <w:rFonts w:ascii="Calibri" w:hAnsi="Calibri" w:cs="Calibri"/>
                <w:sz w:val="20"/>
                <w:szCs w:val="20"/>
              </w:rPr>
            </w:pPr>
          </w:p>
        </w:tc>
        <w:tc>
          <w:tcPr>
            <w:tcW w:w="487" w:type="dxa"/>
            <w:tcBorders>
              <w:top w:val="single" w:color="auto" w:sz="6" w:space="0"/>
              <w:left w:val="single" w:color="auto" w:sz="6" w:space="0"/>
              <w:bottom w:val="single" w:color="auto" w:sz="6"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500" w:lineRule="exact"/>
              <w:ind w:left="0" w:leftChars="0" w:right="0" w:rightChars="0"/>
              <w:jc w:val="center"/>
              <w:rPr>
                <w:rFonts w:ascii="宋体" w:hAnsi="宋体" w:eastAsia="宋体" w:cs="宋体"/>
                <w:kern w:val="0"/>
                <w:szCs w:val="21"/>
              </w:rPr>
            </w:pPr>
            <w:r>
              <w:rPr>
                <w:rFonts w:hint="eastAsia" w:ascii="宋体" w:hAnsi="宋体" w:eastAsia="宋体" w:cs="宋体"/>
                <w:kern w:val="0"/>
                <w:szCs w:val="21"/>
                <w:lang w:val="en-US" w:eastAsia="zh-CN"/>
              </w:rPr>
              <w:t>5</w:t>
            </w:r>
          </w:p>
        </w:tc>
        <w:tc>
          <w:tcPr>
            <w:tcW w:w="2358" w:type="dxa"/>
            <w:gridSpan w:val="2"/>
            <w:tcBorders>
              <w:top w:val="single" w:color="auto" w:sz="6" w:space="0"/>
              <w:left w:val="single" w:color="auto" w:sz="4"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500" w:lineRule="exact"/>
              <w:ind w:left="0" w:leftChars="0" w:right="0" w:rightChars="0"/>
              <w:jc w:val="center"/>
              <w:rPr>
                <w:rFonts w:ascii="宋体" w:hAnsi="Calibri" w:eastAsia="宋体" w:cs="宋体"/>
                <w:kern w:val="0"/>
                <w:szCs w:val="21"/>
              </w:rPr>
            </w:pPr>
            <w:r>
              <w:rPr>
                <w:rFonts w:hint="eastAsia" w:ascii="宋体" w:hAnsi="宋体" w:eastAsia="宋体" w:cs="宋体"/>
                <w:bCs/>
                <w:szCs w:val="21"/>
                <w:highlight w:val="none"/>
                <w:lang w:eastAsia="zh-CN"/>
              </w:rPr>
              <w:t>采购</w:t>
            </w:r>
            <w:r>
              <w:rPr>
                <w:rFonts w:hint="eastAsia" w:ascii="宋体" w:hAnsi="宋体" w:eastAsia="宋体" w:cs="宋体"/>
                <w:bCs/>
                <w:szCs w:val="21"/>
                <w:highlight w:val="none"/>
              </w:rPr>
              <w:t>内容及要求</w:t>
            </w:r>
          </w:p>
        </w:tc>
        <w:tc>
          <w:tcPr>
            <w:tcW w:w="5837" w:type="dxa"/>
            <w:tcBorders>
              <w:top w:val="single" w:color="auto" w:sz="6" w:space="0"/>
              <w:left w:val="single" w:color="auto" w:sz="6" w:space="0"/>
              <w:bottom w:val="single" w:color="auto" w:sz="6" w:space="0"/>
              <w:right w:val="single" w:color="auto" w:sz="12" w:space="0"/>
            </w:tcBorders>
            <w:shd w:val="clear" w:color="auto" w:fill="auto"/>
            <w:vAlign w:val="center"/>
          </w:tcPr>
          <w:p>
            <w:pPr>
              <w:keepNext w:val="0"/>
              <w:keepLines w:val="0"/>
              <w:widowControl w:val="0"/>
              <w:suppressLineNumbers w:val="0"/>
              <w:spacing w:before="0" w:beforeAutospacing="0" w:after="0" w:afterAutospacing="0" w:line="500" w:lineRule="exact"/>
              <w:ind w:left="0" w:leftChars="0" w:right="0" w:rightChars="0"/>
              <w:jc w:val="left"/>
              <w:rPr>
                <w:rFonts w:ascii="宋体" w:hAnsi="Calibri" w:eastAsia="宋体" w:cs="宋体"/>
                <w:kern w:val="0"/>
                <w:szCs w:val="21"/>
              </w:rPr>
            </w:pPr>
            <w:r>
              <w:rPr>
                <w:rFonts w:hint="eastAsia" w:ascii="宋体" w:hAnsi="宋体" w:eastAsia="宋体" w:cs="宋体"/>
                <w:kern w:val="0"/>
                <w:szCs w:val="21"/>
                <w:highlight w:val="none"/>
              </w:rPr>
              <w:t>符合“第五章</w:t>
            </w:r>
            <w:r>
              <w:rPr>
                <w:rFonts w:hint="eastAsia" w:ascii="宋体" w:hAnsi="宋体" w:eastAsia="宋体" w:cs="宋体"/>
                <w:kern w:val="0"/>
                <w:szCs w:val="21"/>
                <w:highlight w:val="none"/>
                <w:lang w:val="en-US" w:eastAsia="zh-CN"/>
              </w:rPr>
              <w:t xml:space="preserve"> </w:t>
            </w:r>
            <w:r>
              <w:rPr>
                <w:rFonts w:hint="eastAsia" w:ascii="宋体" w:hAnsi="宋体" w:eastAsia="宋体" w:cs="宋体"/>
                <w:bCs/>
                <w:szCs w:val="21"/>
                <w:highlight w:val="none"/>
                <w:lang w:eastAsia="zh-CN"/>
              </w:rPr>
              <w:t>采购</w:t>
            </w:r>
            <w:r>
              <w:rPr>
                <w:rFonts w:hint="eastAsia" w:ascii="宋体" w:hAnsi="宋体" w:eastAsia="宋体" w:cs="宋体"/>
                <w:bCs/>
                <w:szCs w:val="21"/>
                <w:highlight w:val="none"/>
              </w:rPr>
              <w:t>内容及要求</w:t>
            </w:r>
            <w:r>
              <w:rPr>
                <w:rFonts w:hint="eastAsia" w:ascii="宋体" w:hAnsi="宋体" w:eastAsia="宋体" w:cs="宋体"/>
                <w:kern w:val="0"/>
                <w:szCs w:val="21"/>
                <w:highlight w:val="none"/>
              </w:rPr>
              <w:t>”</w:t>
            </w:r>
          </w:p>
        </w:tc>
      </w:tr>
      <w:bookmarkEnd w:id="50"/>
      <w:bookmarkEnd w:id="51"/>
      <w:bookmarkEnd w:id="5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8" w:hRule="atLeast"/>
          <w:jc w:val="center"/>
        </w:trPr>
        <w:tc>
          <w:tcPr>
            <w:tcW w:w="10107" w:type="dxa"/>
            <w:gridSpan w:val="6"/>
            <w:tcBorders>
              <w:top w:val="nil"/>
              <w:left w:val="single" w:color="auto" w:sz="4" w:space="0"/>
              <w:bottom w:val="single" w:color="auto" w:sz="4" w:space="0"/>
              <w:right w:val="single" w:color="auto" w:sz="4" w:space="0"/>
            </w:tcBorders>
            <w:shd w:val="clear" w:color="auto" w:fill="auto"/>
            <w:vAlign w:val="center"/>
          </w:tcPr>
          <w:p>
            <w:pPr>
              <w:spacing w:line="360" w:lineRule="auto"/>
              <w:ind w:left="-108"/>
              <w:rPr>
                <w:rFonts w:ascii="新宋体" w:hAnsi="新宋体" w:eastAsia="新宋体" w:cs="新宋体"/>
                <w:szCs w:val="21"/>
              </w:rPr>
            </w:pPr>
            <w:r>
              <w:rPr>
                <w:rFonts w:hint="eastAsia" w:ascii="新宋体" w:hAnsi="新宋体" w:eastAsia="新宋体" w:cs="新宋体"/>
                <w:szCs w:val="21"/>
              </w:rPr>
              <w:t>报价谈判程序（初步评审合格的谈判人进入报价谈判部分）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050" w:hRule="atLeast"/>
          <w:jc w:val="center"/>
        </w:trPr>
        <w:tc>
          <w:tcPr>
            <w:tcW w:w="1374" w:type="dxa"/>
            <w:tcBorders>
              <w:top w:val="single" w:color="auto" w:sz="4" w:space="0"/>
              <w:left w:val="single" w:color="auto" w:sz="4" w:space="0"/>
              <w:bottom w:val="nil"/>
              <w:right w:val="single" w:color="auto" w:sz="4" w:space="0"/>
            </w:tcBorders>
            <w:shd w:val="clear" w:color="auto" w:fill="auto"/>
            <w:vAlign w:val="center"/>
          </w:tcPr>
          <w:p>
            <w:pPr>
              <w:spacing w:line="360" w:lineRule="auto"/>
              <w:jc w:val="center"/>
              <w:rPr>
                <w:rFonts w:ascii="新宋体" w:hAnsi="新宋体" w:eastAsia="新宋体" w:cs="新宋体"/>
                <w:szCs w:val="21"/>
              </w:rPr>
            </w:pPr>
            <w:r>
              <w:rPr>
                <w:rFonts w:hint="eastAsia" w:ascii="新宋体" w:hAnsi="新宋体" w:eastAsia="新宋体" w:cs="新宋体"/>
                <w:szCs w:val="21"/>
              </w:rPr>
              <w:t>2.2.1</w:t>
            </w:r>
          </w:p>
        </w:tc>
        <w:tc>
          <w:tcPr>
            <w:tcW w:w="1121" w:type="dxa"/>
            <w:gridSpan w:val="3"/>
            <w:tcBorders>
              <w:top w:val="single" w:color="auto" w:sz="4" w:space="0"/>
              <w:left w:val="nil"/>
              <w:bottom w:val="nil"/>
              <w:right w:val="single" w:color="auto" w:sz="4" w:space="0"/>
            </w:tcBorders>
            <w:shd w:val="clear" w:color="auto" w:fill="auto"/>
            <w:vAlign w:val="center"/>
          </w:tcPr>
          <w:p>
            <w:pPr>
              <w:spacing w:line="360" w:lineRule="auto"/>
              <w:jc w:val="center"/>
              <w:rPr>
                <w:rFonts w:ascii="新宋体" w:hAnsi="新宋体" w:eastAsia="新宋体" w:cs="新宋体"/>
                <w:szCs w:val="21"/>
              </w:rPr>
            </w:pPr>
            <w:r>
              <w:rPr>
                <w:rFonts w:hint="eastAsia" w:ascii="新宋体" w:hAnsi="新宋体" w:eastAsia="新宋体" w:cs="新宋体"/>
                <w:szCs w:val="21"/>
              </w:rPr>
              <w:t>报价</w:t>
            </w:r>
          </w:p>
          <w:p>
            <w:pPr>
              <w:spacing w:line="360" w:lineRule="auto"/>
              <w:jc w:val="center"/>
              <w:rPr>
                <w:rFonts w:ascii="新宋体" w:hAnsi="新宋体" w:eastAsia="新宋体" w:cs="新宋体"/>
                <w:szCs w:val="21"/>
              </w:rPr>
            </w:pPr>
            <w:r>
              <w:rPr>
                <w:rFonts w:hint="eastAsia" w:ascii="新宋体" w:hAnsi="新宋体" w:eastAsia="新宋体" w:cs="新宋体"/>
                <w:szCs w:val="21"/>
              </w:rPr>
              <w:t>谈判</w:t>
            </w:r>
          </w:p>
        </w:tc>
        <w:tc>
          <w:tcPr>
            <w:tcW w:w="76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720"/>
              </w:tabs>
              <w:spacing w:line="360" w:lineRule="auto"/>
              <w:jc w:val="left"/>
              <w:rPr>
                <w:rFonts w:ascii="新宋体" w:hAnsi="新宋体" w:eastAsia="新宋体" w:cs="新宋体"/>
                <w:szCs w:val="21"/>
              </w:rPr>
            </w:pPr>
            <w:r>
              <w:rPr>
                <w:rFonts w:hint="eastAsia" w:ascii="新宋体" w:hAnsi="新宋体" w:eastAsia="新宋体" w:cs="新宋体"/>
                <w:szCs w:val="21"/>
              </w:rPr>
              <w:t>1、谈判小组所有成员集中与单一谈判人分别进行谈判。若谈判内容有实质性变动的，谈判小组应当以书面形式通知所有参加谈判的谈判人。</w:t>
            </w:r>
            <w:r>
              <w:rPr>
                <w:rFonts w:hint="eastAsia" w:ascii="新宋体" w:hAnsi="新宋体" w:eastAsia="新宋体" w:cs="新宋体"/>
                <w:color w:val="000000"/>
                <w:szCs w:val="21"/>
              </w:rPr>
              <w:t>代理机构对谈判过程和谈判内容进行记录，谈判双方在记录上签字确认。</w:t>
            </w:r>
          </w:p>
          <w:p>
            <w:pPr>
              <w:tabs>
                <w:tab w:val="left" w:pos="720"/>
              </w:tabs>
              <w:spacing w:line="360" w:lineRule="auto"/>
              <w:jc w:val="left"/>
              <w:rPr>
                <w:rFonts w:ascii="新宋体" w:hAnsi="新宋体" w:eastAsia="新宋体" w:cs="新宋体"/>
                <w:szCs w:val="21"/>
              </w:rPr>
            </w:pPr>
            <w:r>
              <w:rPr>
                <w:rFonts w:hint="eastAsia" w:ascii="新宋体" w:hAnsi="新宋体" w:eastAsia="新宋体" w:cs="新宋体"/>
                <w:szCs w:val="21"/>
              </w:rPr>
              <w:t>2、谈判共分二次进行：响应文件中的内容为第一次谈判内容，谈判小组将根据第一次谈判的内容确定谈判人参加第二次谈判，第二次谈判内容为最终谈判内容，所有参加第二次谈判（最终）的谈判人在规定时间内递交二次报价（最终报价函），</w:t>
            </w:r>
            <w:r>
              <w:rPr>
                <w:rFonts w:hint="eastAsia" w:ascii="新宋体" w:hAnsi="新宋体" w:eastAsia="新宋体" w:cs="新宋体"/>
                <w:color w:val="000000"/>
                <w:szCs w:val="21"/>
              </w:rPr>
              <w:t>谈判小组按</w:t>
            </w:r>
            <w:r>
              <w:rPr>
                <w:rFonts w:hint="eastAsia" w:ascii="新宋体" w:hAnsi="新宋体" w:eastAsia="新宋体" w:cs="新宋体"/>
                <w:szCs w:val="21"/>
              </w:rPr>
              <w:t>二次报价（最终报价函）</w:t>
            </w:r>
            <w:r>
              <w:rPr>
                <w:rFonts w:hint="eastAsia" w:ascii="新宋体" w:hAnsi="新宋体" w:eastAsia="新宋体" w:cs="新宋体"/>
                <w:color w:val="000000"/>
                <w:szCs w:val="21"/>
              </w:rPr>
              <w:t>报价从低到高排序，推荐成交候选人顺序，形成谈判报告。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3" w:hRule="atLeast"/>
          <w:jc w:val="center"/>
        </w:trPr>
        <w:tc>
          <w:tcPr>
            <w:tcW w:w="10107" w:type="dxa"/>
            <w:gridSpan w:val="6"/>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45" w:firstLineChars="212"/>
              <w:rPr>
                <w:rFonts w:ascii="新宋体" w:hAnsi="新宋体" w:eastAsia="新宋体" w:cs="新宋体"/>
                <w:b/>
                <w:szCs w:val="21"/>
              </w:rPr>
            </w:pPr>
            <w:r>
              <w:rPr>
                <w:rFonts w:hint="eastAsia" w:ascii="新宋体" w:hAnsi="新宋体" w:eastAsia="新宋体" w:cs="新宋体"/>
                <w:b/>
                <w:szCs w:val="21"/>
              </w:rPr>
              <w:t>注：1.谈判报价高于招标控制价的为废标。</w:t>
            </w:r>
          </w:p>
        </w:tc>
      </w:tr>
    </w:tbl>
    <w:p>
      <w:pPr>
        <w:pStyle w:val="49"/>
        <w:widowControl/>
        <w:spacing w:line="360" w:lineRule="auto"/>
        <w:rPr>
          <w:rFonts w:ascii="新宋体" w:hAnsi="新宋体" w:eastAsia="新宋体" w:cs="新宋体"/>
          <w:sz w:val="21"/>
          <w:szCs w:val="21"/>
        </w:rPr>
      </w:pPr>
      <w:bookmarkStart w:id="75" w:name="_Toc30054"/>
      <w:r>
        <w:rPr>
          <w:rFonts w:hint="eastAsia" w:ascii="新宋体" w:hAnsi="新宋体" w:eastAsia="新宋体" w:cs="新宋体"/>
          <w:sz w:val="21"/>
          <w:szCs w:val="21"/>
        </w:rPr>
        <w:t>1、谈判方法</w:t>
      </w:r>
      <w:bookmarkEnd w:id="75"/>
    </w:p>
    <w:p>
      <w:pPr>
        <w:spacing w:line="360" w:lineRule="auto"/>
        <w:ind w:firstLine="420" w:firstLineChars="200"/>
        <w:rPr>
          <w:rFonts w:ascii="新宋体" w:hAnsi="新宋体" w:eastAsia="新宋体" w:cs="新宋体"/>
          <w:szCs w:val="21"/>
        </w:rPr>
      </w:pPr>
      <w:r>
        <w:rPr>
          <w:rFonts w:hint="eastAsia" w:ascii="新宋体" w:hAnsi="新宋体" w:eastAsia="新宋体" w:cs="新宋体"/>
          <w:szCs w:val="21"/>
        </w:rPr>
        <w:t>谈判小组对满足谈判文件实质性要求的谈判响应文件，按照本章第 2.2 款规定的进行评审，并按要求推荐成交候选人，但谈判报价低于其成本的除外。谈判按照先初步评审、再商务谈判报价,初步评审不合格的，不参与商务谈判报价的评审。</w:t>
      </w:r>
    </w:p>
    <w:p>
      <w:pPr>
        <w:pStyle w:val="49"/>
        <w:widowControl/>
        <w:spacing w:line="360" w:lineRule="auto"/>
        <w:rPr>
          <w:rFonts w:ascii="新宋体" w:hAnsi="新宋体" w:eastAsia="新宋体" w:cs="新宋体"/>
          <w:sz w:val="21"/>
          <w:szCs w:val="21"/>
        </w:rPr>
      </w:pPr>
      <w:bookmarkStart w:id="76" w:name="_Toc373826234"/>
      <w:bookmarkStart w:id="77" w:name="_Toc324945303"/>
      <w:bookmarkStart w:id="78" w:name="_Toc22109"/>
      <w:bookmarkStart w:id="79" w:name="_Toc369755533"/>
      <w:bookmarkStart w:id="80" w:name="_Toc31625"/>
      <w:bookmarkStart w:id="81" w:name="_Toc222817706"/>
      <w:bookmarkStart w:id="82" w:name="_Toc1645"/>
      <w:bookmarkStart w:id="83" w:name="_Toc4644"/>
      <w:bookmarkStart w:id="84" w:name="_Toc30034"/>
      <w:r>
        <w:rPr>
          <w:rFonts w:hint="eastAsia" w:ascii="新宋体" w:hAnsi="新宋体" w:eastAsia="新宋体" w:cs="新宋体"/>
          <w:sz w:val="21"/>
          <w:szCs w:val="21"/>
        </w:rPr>
        <w:t>2、评审标准</w:t>
      </w:r>
      <w:bookmarkEnd w:id="76"/>
      <w:bookmarkEnd w:id="77"/>
      <w:bookmarkEnd w:id="78"/>
      <w:bookmarkEnd w:id="79"/>
      <w:bookmarkEnd w:id="80"/>
      <w:bookmarkEnd w:id="81"/>
      <w:bookmarkEnd w:id="82"/>
      <w:bookmarkEnd w:id="83"/>
      <w:bookmarkEnd w:id="84"/>
    </w:p>
    <w:p>
      <w:pPr>
        <w:tabs>
          <w:tab w:val="left" w:pos="170"/>
        </w:tabs>
        <w:spacing w:line="360" w:lineRule="auto"/>
        <w:rPr>
          <w:rFonts w:ascii="新宋体" w:hAnsi="新宋体" w:eastAsia="新宋体" w:cs="新宋体"/>
          <w:b/>
          <w:szCs w:val="21"/>
        </w:rPr>
      </w:pPr>
      <w:r>
        <w:rPr>
          <w:rFonts w:hint="eastAsia" w:ascii="新宋体" w:hAnsi="新宋体" w:eastAsia="新宋体" w:cs="新宋体"/>
          <w:b/>
          <w:szCs w:val="21"/>
        </w:rPr>
        <w:t>2.1初步评审标准</w:t>
      </w:r>
    </w:p>
    <w:p>
      <w:pPr>
        <w:tabs>
          <w:tab w:val="left" w:pos="350"/>
        </w:tabs>
        <w:spacing w:line="360" w:lineRule="auto"/>
        <w:ind w:left="180"/>
        <w:rPr>
          <w:rFonts w:ascii="新宋体" w:hAnsi="新宋体" w:eastAsia="新宋体" w:cs="新宋体"/>
          <w:szCs w:val="21"/>
        </w:rPr>
      </w:pPr>
      <w:r>
        <w:rPr>
          <w:rFonts w:hint="eastAsia" w:ascii="新宋体" w:hAnsi="新宋体" w:eastAsia="新宋体" w:cs="新宋体"/>
          <w:szCs w:val="21"/>
        </w:rPr>
        <w:t>2.1.1形式评审标准：见谈判办法前附表。</w:t>
      </w:r>
    </w:p>
    <w:p>
      <w:pPr>
        <w:tabs>
          <w:tab w:val="left" w:pos="350"/>
        </w:tabs>
        <w:spacing w:line="360" w:lineRule="auto"/>
        <w:ind w:left="180"/>
        <w:rPr>
          <w:rFonts w:ascii="新宋体" w:hAnsi="新宋体" w:eastAsia="新宋体" w:cs="新宋体"/>
          <w:szCs w:val="21"/>
        </w:rPr>
      </w:pPr>
      <w:r>
        <w:rPr>
          <w:rFonts w:hint="eastAsia" w:ascii="新宋体" w:hAnsi="新宋体" w:eastAsia="新宋体" w:cs="新宋体"/>
          <w:szCs w:val="21"/>
        </w:rPr>
        <w:t>2.1.2资格评审标准：见谈判办法前附表。</w:t>
      </w:r>
    </w:p>
    <w:p>
      <w:pPr>
        <w:tabs>
          <w:tab w:val="left" w:pos="350"/>
        </w:tabs>
        <w:spacing w:line="360" w:lineRule="auto"/>
        <w:ind w:left="180"/>
        <w:rPr>
          <w:rFonts w:ascii="新宋体" w:hAnsi="新宋体" w:eastAsia="新宋体" w:cs="新宋体"/>
          <w:szCs w:val="21"/>
        </w:rPr>
      </w:pPr>
      <w:r>
        <w:rPr>
          <w:rFonts w:hint="eastAsia" w:ascii="新宋体" w:hAnsi="新宋体" w:eastAsia="新宋体" w:cs="新宋体"/>
          <w:szCs w:val="21"/>
        </w:rPr>
        <w:t>2.1.3响应性评审标准：见谈判办法前附表。</w:t>
      </w:r>
    </w:p>
    <w:p>
      <w:pPr>
        <w:tabs>
          <w:tab w:val="left" w:pos="170"/>
        </w:tabs>
        <w:spacing w:line="360" w:lineRule="auto"/>
        <w:rPr>
          <w:rFonts w:ascii="新宋体" w:hAnsi="新宋体" w:eastAsia="新宋体" w:cs="新宋体"/>
          <w:b/>
          <w:szCs w:val="21"/>
        </w:rPr>
      </w:pPr>
      <w:r>
        <w:rPr>
          <w:rFonts w:hint="eastAsia" w:ascii="新宋体" w:hAnsi="新宋体" w:eastAsia="新宋体" w:cs="新宋体"/>
          <w:b/>
          <w:szCs w:val="21"/>
        </w:rPr>
        <w:t>2.2谈判内容与评审标准</w:t>
      </w:r>
    </w:p>
    <w:p>
      <w:pPr>
        <w:tabs>
          <w:tab w:val="left" w:pos="780"/>
        </w:tabs>
        <w:spacing w:line="360" w:lineRule="auto"/>
        <w:ind w:left="370"/>
        <w:rPr>
          <w:rFonts w:ascii="新宋体" w:hAnsi="新宋体" w:eastAsia="新宋体" w:cs="新宋体"/>
          <w:szCs w:val="21"/>
        </w:rPr>
      </w:pPr>
      <w:r>
        <w:rPr>
          <w:rFonts w:hint="eastAsia" w:ascii="新宋体" w:hAnsi="新宋体" w:eastAsia="新宋体" w:cs="新宋体"/>
          <w:szCs w:val="21"/>
        </w:rPr>
        <w:t>2.2.1报价谈判：见谈判办法前附表；</w:t>
      </w:r>
    </w:p>
    <w:p>
      <w:pPr>
        <w:pStyle w:val="49"/>
        <w:widowControl/>
        <w:spacing w:line="360" w:lineRule="auto"/>
        <w:rPr>
          <w:rFonts w:ascii="新宋体" w:hAnsi="新宋体" w:eastAsia="新宋体" w:cs="新宋体"/>
          <w:sz w:val="21"/>
          <w:szCs w:val="21"/>
        </w:rPr>
      </w:pPr>
      <w:bookmarkStart w:id="85" w:name="_Toc373826235"/>
      <w:bookmarkStart w:id="86" w:name="_Toc369755534"/>
      <w:bookmarkStart w:id="87" w:name="_Toc222817707"/>
      <w:bookmarkStart w:id="88" w:name="_Toc32447"/>
      <w:bookmarkStart w:id="89" w:name="_Toc16993"/>
      <w:bookmarkStart w:id="90" w:name="_Toc28404"/>
      <w:bookmarkStart w:id="91" w:name="_Toc12023"/>
      <w:bookmarkStart w:id="92" w:name="_Toc324945304"/>
      <w:bookmarkStart w:id="93" w:name="_Toc27996"/>
      <w:r>
        <w:rPr>
          <w:rFonts w:hint="eastAsia" w:ascii="新宋体" w:hAnsi="新宋体" w:eastAsia="新宋体" w:cs="新宋体"/>
          <w:sz w:val="21"/>
          <w:szCs w:val="21"/>
        </w:rPr>
        <w:t>3、谈判程序</w:t>
      </w:r>
      <w:bookmarkEnd w:id="85"/>
      <w:bookmarkEnd w:id="86"/>
      <w:bookmarkEnd w:id="87"/>
      <w:bookmarkEnd w:id="88"/>
      <w:bookmarkEnd w:id="89"/>
      <w:bookmarkEnd w:id="90"/>
      <w:bookmarkEnd w:id="91"/>
      <w:bookmarkEnd w:id="92"/>
      <w:bookmarkEnd w:id="93"/>
    </w:p>
    <w:p>
      <w:pPr>
        <w:tabs>
          <w:tab w:val="left" w:pos="170"/>
        </w:tabs>
        <w:spacing w:line="360" w:lineRule="auto"/>
        <w:rPr>
          <w:rFonts w:ascii="新宋体" w:hAnsi="新宋体" w:eastAsia="新宋体" w:cs="新宋体"/>
          <w:b/>
          <w:szCs w:val="21"/>
        </w:rPr>
      </w:pPr>
      <w:r>
        <w:rPr>
          <w:rFonts w:hint="eastAsia" w:ascii="新宋体" w:hAnsi="新宋体" w:eastAsia="新宋体" w:cs="新宋体"/>
          <w:b/>
          <w:szCs w:val="21"/>
        </w:rPr>
        <w:t>3.1初步评审</w:t>
      </w:r>
    </w:p>
    <w:p>
      <w:pPr>
        <w:tabs>
          <w:tab w:val="left" w:pos="350"/>
        </w:tabs>
        <w:spacing w:line="360" w:lineRule="auto"/>
        <w:ind w:left="180"/>
        <w:rPr>
          <w:rFonts w:ascii="新宋体" w:hAnsi="新宋体" w:eastAsia="新宋体" w:cs="新宋体"/>
          <w:szCs w:val="21"/>
        </w:rPr>
      </w:pPr>
      <w:r>
        <w:rPr>
          <w:rFonts w:hint="eastAsia" w:ascii="新宋体" w:hAnsi="新宋体" w:eastAsia="新宋体" w:cs="新宋体"/>
          <w:szCs w:val="21"/>
        </w:rPr>
        <w:t>3.1.1谈判小组依据本章第 2.1.1款至2.1.3款规定的标准对谈判响应文件进行初步评审。有一项不符合评审标准的，作废标处理。</w:t>
      </w:r>
    </w:p>
    <w:p>
      <w:pPr>
        <w:spacing w:line="360" w:lineRule="auto"/>
        <w:ind w:left="181"/>
        <w:rPr>
          <w:rFonts w:ascii="新宋体" w:hAnsi="新宋体" w:eastAsia="新宋体" w:cs="新宋体"/>
          <w:szCs w:val="21"/>
        </w:rPr>
      </w:pPr>
      <w:r>
        <w:rPr>
          <w:rFonts w:hint="eastAsia" w:ascii="新宋体" w:hAnsi="新宋体" w:eastAsia="新宋体" w:cs="新宋体"/>
          <w:szCs w:val="21"/>
        </w:rPr>
        <w:t>3.1.2有下列情形之一的，谈判小组应当否决其谈判：</w:t>
      </w:r>
    </w:p>
    <w:p>
      <w:pPr>
        <w:spacing w:line="360" w:lineRule="auto"/>
        <w:rPr>
          <w:rFonts w:ascii="新宋体" w:hAnsi="新宋体" w:eastAsia="新宋体" w:cs="新宋体"/>
          <w:szCs w:val="21"/>
        </w:rPr>
      </w:pPr>
      <w:r>
        <w:rPr>
          <w:rFonts w:hint="eastAsia" w:ascii="新宋体" w:hAnsi="新宋体" w:eastAsia="新宋体" w:cs="新宋体"/>
          <w:szCs w:val="21"/>
        </w:rPr>
        <w:t xml:space="preserve"> （1）谈判响应文件未经投标单位盖章和单位负责人签字或授权委托人签字；</w:t>
      </w:r>
    </w:p>
    <w:p>
      <w:pPr>
        <w:spacing w:line="360" w:lineRule="auto"/>
        <w:rPr>
          <w:rFonts w:ascii="新宋体" w:hAnsi="新宋体" w:eastAsia="新宋体" w:cs="新宋体"/>
          <w:szCs w:val="21"/>
        </w:rPr>
      </w:pPr>
      <w:r>
        <w:rPr>
          <w:rFonts w:hint="eastAsia" w:ascii="新宋体" w:hAnsi="新宋体" w:eastAsia="新宋体" w:cs="新宋体"/>
          <w:szCs w:val="21"/>
        </w:rPr>
        <w:t xml:space="preserve"> （2）未按规定的格式填写，内容不全或关键字迹模糊、无法辨认的；</w:t>
      </w:r>
    </w:p>
    <w:p>
      <w:pPr>
        <w:spacing w:line="360" w:lineRule="auto"/>
        <w:rPr>
          <w:rFonts w:ascii="新宋体" w:hAnsi="新宋体" w:eastAsia="新宋体" w:cs="新宋体"/>
          <w:szCs w:val="21"/>
        </w:rPr>
      </w:pPr>
      <w:r>
        <w:rPr>
          <w:rFonts w:hint="eastAsia" w:ascii="新宋体" w:hAnsi="新宋体" w:eastAsia="新宋体" w:cs="新宋体"/>
          <w:szCs w:val="21"/>
        </w:rPr>
        <w:t xml:space="preserve"> （3）谈判人递交两份或多份内容不同的谈判响应文件，或在一份谈判响应文件中对同一招标项目报有两个或多个报价，且未声明哪一个有效，按谈判文件规定提交备选谈判方案的除外；</w:t>
      </w:r>
    </w:p>
    <w:p>
      <w:pPr>
        <w:spacing w:line="360" w:lineRule="auto"/>
        <w:ind w:left="181"/>
        <w:rPr>
          <w:rFonts w:ascii="新宋体" w:hAnsi="新宋体" w:eastAsia="新宋体" w:cs="新宋体"/>
          <w:szCs w:val="21"/>
        </w:rPr>
      </w:pPr>
      <w:r>
        <w:rPr>
          <w:rFonts w:hint="eastAsia" w:ascii="新宋体" w:hAnsi="新宋体" w:eastAsia="新宋体" w:cs="新宋体"/>
          <w:szCs w:val="21"/>
        </w:rPr>
        <w:t>（4）谈判人名称或组织结构与资格预审或谈判申请内容不一致，且未在谈判文件规定的谈判截止时间之前获得采购人和行政主管部门书面同意并在当地有形建筑市场申请变更的；</w:t>
      </w:r>
    </w:p>
    <w:p>
      <w:pPr>
        <w:spacing w:line="360" w:lineRule="auto"/>
        <w:ind w:left="181"/>
        <w:rPr>
          <w:rFonts w:ascii="新宋体" w:hAnsi="新宋体" w:eastAsia="新宋体" w:cs="新宋体"/>
          <w:szCs w:val="21"/>
        </w:rPr>
      </w:pPr>
      <w:r>
        <w:rPr>
          <w:rFonts w:hint="eastAsia" w:ascii="新宋体" w:hAnsi="新宋体" w:eastAsia="新宋体" w:cs="新宋体"/>
          <w:szCs w:val="21"/>
        </w:rPr>
        <w:t>（5）联合体谈判未附联合体各方共同谈判协议的（本项目不适用）；</w:t>
      </w:r>
    </w:p>
    <w:p>
      <w:pPr>
        <w:spacing w:line="360" w:lineRule="auto"/>
        <w:ind w:left="181"/>
        <w:rPr>
          <w:rFonts w:ascii="新宋体" w:hAnsi="新宋体" w:eastAsia="新宋体" w:cs="新宋体"/>
          <w:szCs w:val="21"/>
        </w:rPr>
      </w:pPr>
      <w:r>
        <w:rPr>
          <w:rFonts w:hint="eastAsia" w:ascii="新宋体" w:hAnsi="新宋体" w:eastAsia="新宋体" w:cs="新宋体"/>
          <w:szCs w:val="21"/>
        </w:rPr>
        <w:t>（6）不按谈判小组要求澄清、说明或补正的；</w:t>
      </w:r>
    </w:p>
    <w:p>
      <w:pPr>
        <w:spacing w:line="360" w:lineRule="auto"/>
        <w:ind w:left="181"/>
        <w:rPr>
          <w:rFonts w:ascii="新宋体" w:hAnsi="新宋体" w:eastAsia="新宋体" w:cs="新宋体"/>
          <w:szCs w:val="21"/>
        </w:rPr>
      </w:pPr>
      <w:r>
        <w:rPr>
          <w:rFonts w:hint="eastAsia" w:ascii="新宋体" w:hAnsi="新宋体" w:eastAsia="新宋体" w:cs="新宋体"/>
          <w:szCs w:val="21"/>
        </w:rPr>
        <w:t>（7）谈判响应文件载明的招标项目完成期限超过谈判文件规定的期限；</w:t>
      </w:r>
    </w:p>
    <w:p>
      <w:pPr>
        <w:spacing w:line="360" w:lineRule="auto"/>
        <w:ind w:left="181"/>
        <w:rPr>
          <w:rFonts w:ascii="新宋体" w:hAnsi="新宋体" w:eastAsia="新宋体" w:cs="新宋体"/>
          <w:szCs w:val="21"/>
        </w:rPr>
      </w:pPr>
      <w:r>
        <w:rPr>
          <w:rFonts w:hint="eastAsia" w:ascii="新宋体" w:hAnsi="新宋体" w:eastAsia="新宋体" w:cs="新宋体"/>
          <w:szCs w:val="21"/>
        </w:rPr>
        <w:t>（8）明显不符合技术规格、技术标准的要求；</w:t>
      </w:r>
    </w:p>
    <w:p>
      <w:pPr>
        <w:spacing w:line="360" w:lineRule="auto"/>
        <w:ind w:left="181"/>
        <w:rPr>
          <w:rFonts w:ascii="新宋体" w:hAnsi="新宋体" w:eastAsia="新宋体" w:cs="新宋体"/>
          <w:szCs w:val="21"/>
        </w:rPr>
      </w:pPr>
      <w:r>
        <w:rPr>
          <w:rFonts w:hint="eastAsia" w:ascii="新宋体" w:hAnsi="新宋体" w:eastAsia="新宋体" w:cs="新宋体"/>
          <w:szCs w:val="21"/>
        </w:rPr>
        <w:t>（9）谈判响应文件附加有采购人不能接受的条件的；</w:t>
      </w:r>
    </w:p>
    <w:p>
      <w:pPr>
        <w:spacing w:line="360" w:lineRule="auto"/>
        <w:ind w:left="181"/>
        <w:rPr>
          <w:rFonts w:ascii="新宋体" w:hAnsi="新宋体" w:eastAsia="新宋体" w:cs="新宋体"/>
          <w:szCs w:val="21"/>
        </w:rPr>
      </w:pPr>
      <w:r>
        <w:rPr>
          <w:rFonts w:hint="eastAsia" w:ascii="新宋体" w:hAnsi="新宋体" w:eastAsia="新宋体" w:cs="新宋体"/>
          <w:szCs w:val="21"/>
        </w:rPr>
        <w:t>（10）谈判人以他人的名义谈判、串通谈判、欺诈、威胁、以行贿手段或其他弄虚作假方式谋取成交、采取可能影响谈判公正性的不正当手段的；</w:t>
      </w:r>
    </w:p>
    <w:p>
      <w:pPr>
        <w:spacing w:line="360" w:lineRule="auto"/>
        <w:ind w:left="181"/>
        <w:rPr>
          <w:rFonts w:ascii="新宋体" w:hAnsi="新宋体" w:eastAsia="新宋体" w:cs="新宋体"/>
          <w:szCs w:val="21"/>
        </w:rPr>
      </w:pPr>
      <w:r>
        <w:rPr>
          <w:rFonts w:hint="eastAsia" w:ascii="新宋体" w:hAnsi="新宋体" w:eastAsia="新宋体" w:cs="新宋体"/>
          <w:szCs w:val="21"/>
        </w:rPr>
        <w:t>（11）谈判报价超出谈判最高限价或招标控制价的；</w:t>
      </w:r>
    </w:p>
    <w:p>
      <w:pPr>
        <w:spacing w:line="360" w:lineRule="auto"/>
        <w:ind w:left="181"/>
        <w:rPr>
          <w:rFonts w:ascii="新宋体" w:hAnsi="新宋体" w:eastAsia="新宋体" w:cs="新宋体"/>
          <w:szCs w:val="21"/>
        </w:rPr>
      </w:pPr>
      <w:r>
        <w:rPr>
          <w:rFonts w:hint="eastAsia" w:ascii="新宋体" w:hAnsi="新宋体" w:eastAsia="新宋体" w:cs="新宋体"/>
          <w:szCs w:val="21"/>
        </w:rPr>
        <w:t>（12）不符合谈判文件中规定的其他实质性要求的；</w:t>
      </w:r>
    </w:p>
    <w:p>
      <w:pPr>
        <w:spacing w:line="360" w:lineRule="auto"/>
        <w:ind w:left="181"/>
        <w:rPr>
          <w:rFonts w:ascii="新宋体" w:hAnsi="新宋体" w:eastAsia="新宋体" w:cs="新宋体"/>
          <w:szCs w:val="21"/>
        </w:rPr>
      </w:pPr>
      <w:r>
        <w:rPr>
          <w:rFonts w:hint="eastAsia" w:ascii="新宋体" w:hAnsi="新宋体" w:eastAsia="新宋体" w:cs="新宋体"/>
          <w:szCs w:val="21"/>
        </w:rPr>
        <w:t>（13）谈判行为违反招标投标法以及相关法律、法规和规定的。</w:t>
      </w:r>
    </w:p>
    <w:p>
      <w:pPr>
        <w:spacing w:line="360" w:lineRule="auto"/>
        <w:ind w:firstLine="315" w:firstLineChars="150"/>
        <w:rPr>
          <w:rFonts w:ascii="新宋体" w:hAnsi="新宋体" w:eastAsia="新宋体" w:cs="新宋体"/>
          <w:szCs w:val="21"/>
        </w:rPr>
      </w:pPr>
      <w:r>
        <w:rPr>
          <w:rFonts w:hint="eastAsia" w:ascii="新宋体" w:hAnsi="新宋体" w:eastAsia="新宋体" w:cs="新宋体"/>
          <w:szCs w:val="21"/>
        </w:rPr>
        <w:t>(14)投标文件骑缝处均未加盖单位公章。</w:t>
      </w:r>
    </w:p>
    <w:p>
      <w:pPr>
        <w:spacing w:line="360" w:lineRule="auto"/>
        <w:ind w:firstLine="210" w:firstLineChars="100"/>
        <w:rPr>
          <w:rFonts w:ascii="新宋体" w:hAnsi="新宋体" w:eastAsia="新宋体" w:cs="新宋体"/>
          <w:szCs w:val="21"/>
        </w:rPr>
      </w:pPr>
      <w:r>
        <w:rPr>
          <w:rFonts w:hint="eastAsia" w:ascii="新宋体" w:hAnsi="新宋体" w:eastAsia="新宋体" w:cs="新宋体"/>
          <w:szCs w:val="21"/>
        </w:rPr>
        <w:t>（15）投标有效期及质量要求未响应谈判文件的。</w:t>
      </w:r>
    </w:p>
    <w:p>
      <w:pPr>
        <w:spacing w:line="360" w:lineRule="auto"/>
        <w:ind w:left="180"/>
        <w:rPr>
          <w:rFonts w:ascii="新宋体" w:hAnsi="新宋体" w:eastAsia="新宋体" w:cs="新宋体"/>
          <w:szCs w:val="21"/>
        </w:rPr>
      </w:pPr>
      <w:r>
        <w:rPr>
          <w:rFonts w:hint="eastAsia" w:ascii="新宋体" w:hAnsi="新宋体" w:eastAsia="新宋体" w:cs="新宋体"/>
          <w:szCs w:val="21"/>
        </w:rPr>
        <w:t>3.1.3谈判报价有算术错误的，谈判小组按以下原则对谈判报价进行修正，修正的价格经谈判人书面确认后具有约束力。谈判人不接受修正价格的，其谈判作废标处理。</w:t>
      </w:r>
    </w:p>
    <w:p>
      <w:pPr>
        <w:numPr>
          <w:ilvl w:val="0"/>
          <w:numId w:val="3"/>
        </w:numPr>
        <w:spacing w:line="360" w:lineRule="auto"/>
        <w:ind w:left="540"/>
        <w:rPr>
          <w:rFonts w:ascii="新宋体" w:hAnsi="新宋体" w:eastAsia="新宋体" w:cs="新宋体"/>
          <w:szCs w:val="21"/>
        </w:rPr>
      </w:pPr>
      <w:r>
        <w:rPr>
          <w:rFonts w:hint="eastAsia" w:ascii="新宋体" w:hAnsi="新宋体" w:eastAsia="新宋体" w:cs="新宋体"/>
          <w:szCs w:val="21"/>
        </w:rPr>
        <w:t>谈判响应文件中的大写金额与小写金额不一致的，以大写金额为准；</w:t>
      </w:r>
    </w:p>
    <w:p>
      <w:pPr>
        <w:numPr>
          <w:ilvl w:val="0"/>
          <w:numId w:val="3"/>
        </w:numPr>
        <w:spacing w:line="360" w:lineRule="auto"/>
        <w:ind w:left="540"/>
        <w:rPr>
          <w:rFonts w:ascii="新宋体" w:hAnsi="新宋体" w:eastAsia="新宋体" w:cs="新宋体"/>
          <w:szCs w:val="21"/>
        </w:rPr>
      </w:pPr>
      <w:r>
        <w:rPr>
          <w:rFonts w:hint="eastAsia" w:ascii="新宋体" w:hAnsi="新宋体" w:eastAsia="新宋体" w:cs="新宋体"/>
          <w:szCs w:val="21"/>
        </w:rPr>
        <w:t>总价金额与依据单价计算出的结果不一致的，以单价金额为准修正总价，但单价金额小数点有明显错误的除外。</w:t>
      </w:r>
    </w:p>
    <w:p>
      <w:pPr>
        <w:tabs>
          <w:tab w:val="left" w:pos="170"/>
        </w:tabs>
        <w:spacing w:line="360" w:lineRule="auto"/>
        <w:rPr>
          <w:rFonts w:ascii="新宋体" w:hAnsi="新宋体" w:eastAsia="新宋体" w:cs="新宋体"/>
          <w:b/>
          <w:szCs w:val="21"/>
        </w:rPr>
      </w:pPr>
      <w:r>
        <w:rPr>
          <w:rFonts w:hint="eastAsia" w:ascii="新宋体" w:hAnsi="新宋体" w:eastAsia="新宋体" w:cs="新宋体"/>
          <w:b/>
          <w:szCs w:val="21"/>
        </w:rPr>
        <w:t>3.2二次报价（最终报价）</w:t>
      </w:r>
    </w:p>
    <w:p>
      <w:pPr>
        <w:pStyle w:val="8"/>
        <w:widowControl/>
        <w:spacing w:line="360" w:lineRule="auto"/>
        <w:ind w:firstLine="420" w:firstLineChars="200"/>
        <w:rPr>
          <w:rFonts w:hint="default" w:ascii="新宋体" w:hAnsi="新宋体" w:eastAsia="新宋体" w:cs="新宋体"/>
        </w:rPr>
      </w:pPr>
      <w:r>
        <w:rPr>
          <w:rFonts w:ascii="新宋体" w:hAnsi="新宋体" w:eastAsia="新宋体" w:cs="新宋体"/>
        </w:rPr>
        <w:t>3.2.1、谈判小组所有成员集中与通过初步评审的谈判响应人分别进行谈判；</w:t>
      </w:r>
    </w:p>
    <w:p>
      <w:pPr>
        <w:spacing w:line="360" w:lineRule="auto"/>
        <w:ind w:firstLine="409" w:firstLineChars="195"/>
        <w:rPr>
          <w:rFonts w:ascii="新宋体" w:hAnsi="新宋体" w:eastAsia="新宋体" w:cs="新宋体"/>
          <w:szCs w:val="21"/>
        </w:rPr>
      </w:pPr>
      <w:r>
        <w:rPr>
          <w:rFonts w:hint="eastAsia" w:ascii="新宋体" w:hAnsi="新宋体" w:eastAsia="新宋体" w:cs="新宋体"/>
          <w:szCs w:val="21"/>
        </w:rPr>
        <w:t>3.2.2、谈判小组将要求所有谈判响应人在规定的时间内进行第二次报价（最终报价）；</w:t>
      </w:r>
    </w:p>
    <w:p>
      <w:pPr>
        <w:pStyle w:val="8"/>
        <w:widowControl/>
        <w:spacing w:line="360" w:lineRule="auto"/>
        <w:ind w:firstLine="420" w:firstLineChars="200"/>
        <w:rPr>
          <w:rFonts w:hint="default" w:ascii="新宋体" w:hAnsi="新宋体" w:eastAsia="新宋体" w:cs="新宋体"/>
        </w:rPr>
      </w:pPr>
      <w:r>
        <w:rPr>
          <w:rFonts w:ascii="新宋体" w:hAnsi="新宋体" w:eastAsia="新宋体" w:cs="新宋体"/>
        </w:rPr>
        <w:t>3.2.3、谈判小组将推荐符合本次谈判项目需求、质量和服务相等且报价合理最低的作为第一成交候选人，如报价相等，则先以公司实力（注册资本，企业资质等）高的为优先，如报价相等且技术响应标准相同的则以承诺标准高的优先作为第一成交候选人。</w:t>
      </w:r>
    </w:p>
    <w:p>
      <w:pPr>
        <w:tabs>
          <w:tab w:val="left" w:pos="350"/>
        </w:tabs>
        <w:spacing w:line="360" w:lineRule="auto"/>
        <w:ind w:left="181"/>
        <w:rPr>
          <w:rFonts w:ascii="新宋体" w:hAnsi="新宋体" w:eastAsia="新宋体" w:cs="新宋体"/>
          <w:szCs w:val="21"/>
        </w:rPr>
      </w:pPr>
      <w:r>
        <w:rPr>
          <w:rFonts w:hint="eastAsia" w:ascii="新宋体" w:hAnsi="新宋体" w:eastAsia="新宋体" w:cs="新宋体"/>
          <w:szCs w:val="21"/>
        </w:rPr>
        <w:t xml:space="preserve"> 3.2.4、谈判小组若发现谈判人的报价明显低于其他谈判报价，或者在设有标底时明显低于标底，使得其谈判报价可能低于其个别成本的，应当要求该谈判人作出书面说明并提供相应的证明材料。谈判人不能合理说明或者不能提供相应证明材料的，由谈判小组认定该谈判人以低于成本报价竞标，其谈判作废标处理。</w:t>
      </w:r>
    </w:p>
    <w:p>
      <w:pPr>
        <w:tabs>
          <w:tab w:val="left" w:pos="170"/>
        </w:tabs>
        <w:spacing w:line="360" w:lineRule="auto"/>
        <w:rPr>
          <w:rFonts w:ascii="新宋体" w:hAnsi="新宋体" w:eastAsia="新宋体" w:cs="新宋体"/>
          <w:b/>
          <w:szCs w:val="21"/>
        </w:rPr>
      </w:pPr>
      <w:r>
        <w:rPr>
          <w:rFonts w:hint="eastAsia" w:ascii="新宋体" w:hAnsi="新宋体" w:eastAsia="新宋体" w:cs="新宋体"/>
          <w:b/>
          <w:szCs w:val="21"/>
        </w:rPr>
        <w:t>3.3谈判响应文件的澄清和补正</w:t>
      </w:r>
    </w:p>
    <w:p>
      <w:pPr>
        <w:tabs>
          <w:tab w:val="left" w:pos="350"/>
        </w:tabs>
        <w:spacing w:line="360" w:lineRule="auto"/>
        <w:ind w:left="180"/>
        <w:rPr>
          <w:rFonts w:ascii="新宋体" w:hAnsi="新宋体" w:eastAsia="新宋体" w:cs="新宋体"/>
          <w:szCs w:val="21"/>
        </w:rPr>
      </w:pPr>
      <w:r>
        <w:rPr>
          <w:rFonts w:hint="eastAsia" w:ascii="新宋体" w:hAnsi="新宋体" w:eastAsia="新宋体" w:cs="新宋体"/>
          <w:szCs w:val="21"/>
        </w:rPr>
        <w:t>3.3.1在谈判过程中，谈判小组可以书面形式要求谈判人对所提交谈判响应文件中不明确的内容进行书面澄清或说明，或者对细微偏差进行补正。谈判小组不接受谈判人主动提出的澄清、说明或补正。</w:t>
      </w:r>
    </w:p>
    <w:p>
      <w:pPr>
        <w:tabs>
          <w:tab w:val="left" w:pos="350"/>
        </w:tabs>
        <w:spacing w:line="360" w:lineRule="auto"/>
        <w:ind w:left="180"/>
        <w:rPr>
          <w:rFonts w:ascii="新宋体" w:hAnsi="新宋体" w:eastAsia="新宋体" w:cs="新宋体"/>
          <w:szCs w:val="21"/>
        </w:rPr>
      </w:pPr>
      <w:r>
        <w:rPr>
          <w:rFonts w:hint="eastAsia" w:ascii="新宋体" w:hAnsi="新宋体" w:eastAsia="新宋体" w:cs="新宋体"/>
          <w:szCs w:val="21"/>
        </w:rPr>
        <w:t>3.3.2澄清、说明和补正不得改变谈判响应文件的实质性内容（算术性错误修正的除外）。谈判人的书面澄清、说明和补正属于谈判响应文件的组成部分。</w:t>
      </w:r>
    </w:p>
    <w:p>
      <w:pPr>
        <w:tabs>
          <w:tab w:val="left" w:pos="350"/>
        </w:tabs>
        <w:spacing w:line="360" w:lineRule="auto"/>
        <w:ind w:left="180"/>
        <w:rPr>
          <w:rFonts w:ascii="新宋体" w:hAnsi="新宋体" w:eastAsia="新宋体" w:cs="新宋体"/>
          <w:szCs w:val="21"/>
        </w:rPr>
      </w:pPr>
      <w:r>
        <w:rPr>
          <w:rFonts w:hint="eastAsia" w:ascii="新宋体" w:hAnsi="新宋体" w:eastAsia="新宋体" w:cs="新宋体"/>
          <w:szCs w:val="21"/>
        </w:rPr>
        <w:t>3.3.3谈判小组对谈判人提交的澄清、说明或补正有疑问的，可以要求谈判人进一步澄清、说明或补正，直至满足谈判小组的要求。</w:t>
      </w:r>
    </w:p>
    <w:p>
      <w:pPr>
        <w:pStyle w:val="49"/>
        <w:widowControl/>
        <w:spacing w:line="360" w:lineRule="auto"/>
        <w:rPr>
          <w:rFonts w:ascii="新宋体" w:hAnsi="新宋体" w:eastAsia="新宋体" w:cs="新宋体"/>
          <w:sz w:val="21"/>
          <w:szCs w:val="21"/>
        </w:rPr>
      </w:pPr>
      <w:bookmarkStart w:id="94" w:name="_Toc373826236"/>
      <w:bookmarkStart w:id="95" w:name="_Toc369755535"/>
      <w:bookmarkStart w:id="96" w:name="_Toc12413"/>
      <w:bookmarkStart w:id="97" w:name="_Toc3858"/>
      <w:bookmarkStart w:id="98" w:name="_Toc359690781"/>
      <w:bookmarkStart w:id="99" w:name="_Toc18896"/>
      <w:bookmarkStart w:id="100" w:name="_Toc28622"/>
      <w:bookmarkStart w:id="101" w:name="_Toc21924"/>
      <w:bookmarkStart w:id="102" w:name="_Toc359689567"/>
      <w:r>
        <w:rPr>
          <w:rFonts w:hint="eastAsia" w:ascii="新宋体" w:hAnsi="新宋体" w:eastAsia="新宋体" w:cs="新宋体"/>
          <w:sz w:val="21"/>
          <w:szCs w:val="21"/>
        </w:rPr>
        <w:t>4、谈判结果</w:t>
      </w:r>
      <w:bookmarkEnd w:id="94"/>
      <w:bookmarkEnd w:id="95"/>
      <w:bookmarkEnd w:id="96"/>
      <w:bookmarkEnd w:id="97"/>
      <w:bookmarkEnd w:id="98"/>
      <w:bookmarkEnd w:id="99"/>
      <w:bookmarkEnd w:id="100"/>
      <w:bookmarkEnd w:id="101"/>
      <w:bookmarkEnd w:id="102"/>
    </w:p>
    <w:p>
      <w:pPr>
        <w:autoSpaceDN w:val="0"/>
        <w:spacing w:line="360" w:lineRule="auto"/>
        <w:rPr>
          <w:rFonts w:ascii="新宋体" w:hAnsi="新宋体" w:eastAsia="新宋体" w:cs="新宋体"/>
          <w:szCs w:val="21"/>
          <w:shd w:val="clear" w:color="auto" w:fill="FFFFFF"/>
        </w:rPr>
      </w:pPr>
      <w:r>
        <w:rPr>
          <w:rFonts w:hint="eastAsia" w:ascii="新宋体" w:hAnsi="新宋体" w:eastAsia="新宋体" w:cs="新宋体"/>
          <w:szCs w:val="21"/>
        </w:rPr>
        <w:t>4.1、由谈判小组评选出三名成交候选单位；</w:t>
      </w:r>
    </w:p>
    <w:p>
      <w:pPr>
        <w:tabs>
          <w:tab w:val="left" w:pos="1080"/>
        </w:tabs>
        <w:spacing w:line="360" w:lineRule="auto"/>
        <w:rPr>
          <w:rFonts w:ascii="新宋体" w:hAnsi="新宋体" w:eastAsia="新宋体" w:cs="新宋体"/>
          <w:szCs w:val="21"/>
        </w:rPr>
      </w:pPr>
      <w:r>
        <w:rPr>
          <w:rFonts w:hint="eastAsia" w:ascii="新宋体" w:hAnsi="新宋体" w:eastAsia="新宋体" w:cs="新宋体"/>
          <w:szCs w:val="21"/>
        </w:rPr>
        <w:t>4.2、成交原则，采购人(业主)从谈判小组提出的成交候选人中根据符合本次谈判项目需求、质量和服务相等且报价最低的原则确定成交人，如报价相等，则先以技术响应标准高的为优先，如报价相等且技术响应标准相同的则以承诺标准高的优先作为成交候选人，谈判代理机构（或业主）将结果通知所有参加谈判的未成交的谈判响应人。</w:t>
      </w:r>
    </w:p>
    <w:p>
      <w:pPr>
        <w:pStyle w:val="2"/>
        <w:ind w:left="0" w:firstLine="0"/>
        <w:rPr>
          <w:rFonts w:hint="default" w:ascii="宋体" w:eastAsia="宋体" w:cs="宋体"/>
          <w:b/>
          <w:sz w:val="21"/>
          <w:szCs w:val="21"/>
        </w:rPr>
      </w:pPr>
      <w:bookmarkStart w:id="103" w:name="_Toc433117087"/>
    </w:p>
    <w:p/>
    <w:p/>
    <w:p/>
    <w:p/>
    <w:p/>
    <w:p/>
    <w:p/>
    <w:p/>
    <w:p/>
    <w:p/>
    <w:p/>
    <w:p/>
    <w:p/>
    <w:p/>
    <w:p>
      <w:pPr>
        <w:pStyle w:val="2"/>
        <w:ind w:left="0" w:firstLine="0"/>
        <w:jc w:val="center"/>
        <w:rPr>
          <w:rFonts w:ascii="宋体" w:eastAsia="宋体" w:cs="宋体"/>
          <w:b/>
          <w:sz w:val="21"/>
          <w:szCs w:val="21"/>
        </w:rPr>
      </w:pPr>
      <w:bookmarkStart w:id="104" w:name="_Toc31648113"/>
    </w:p>
    <w:p>
      <w:pPr>
        <w:rPr>
          <w:rFonts w:ascii="宋体" w:eastAsia="宋体" w:cs="宋体"/>
          <w:b/>
          <w:sz w:val="21"/>
          <w:szCs w:val="21"/>
        </w:rPr>
      </w:pPr>
    </w:p>
    <w:p>
      <w:pPr>
        <w:rPr>
          <w:rFonts w:ascii="宋体" w:eastAsia="宋体" w:cs="宋体"/>
          <w:b/>
          <w:sz w:val="21"/>
          <w:szCs w:val="21"/>
        </w:rPr>
      </w:pPr>
    </w:p>
    <w:p>
      <w:pPr>
        <w:rPr>
          <w:rFonts w:ascii="宋体" w:eastAsia="宋体" w:cs="宋体"/>
          <w:b/>
          <w:sz w:val="21"/>
          <w:szCs w:val="21"/>
        </w:rPr>
      </w:pPr>
    </w:p>
    <w:p>
      <w:pPr>
        <w:rPr>
          <w:rFonts w:ascii="宋体" w:eastAsia="宋体" w:cs="宋体"/>
          <w:b/>
          <w:sz w:val="21"/>
          <w:szCs w:val="21"/>
        </w:rPr>
      </w:pPr>
    </w:p>
    <w:p>
      <w:pPr>
        <w:rPr>
          <w:rFonts w:ascii="宋体" w:eastAsia="宋体" w:cs="宋体"/>
          <w:b/>
          <w:sz w:val="21"/>
          <w:szCs w:val="21"/>
        </w:rPr>
      </w:pPr>
    </w:p>
    <w:p>
      <w:pPr>
        <w:rPr>
          <w:rFonts w:ascii="宋体" w:eastAsia="宋体" w:cs="宋体"/>
          <w:b/>
          <w:sz w:val="21"/>
          <w:szCs w:val="21"/>
        </w:rPr>
      </w:pPr>
    </w:p>
    <w:p>
      <w:pPr>
        <w:rPr>
          <w:rFonts w:ascii="宋体" w:eastAsia="宋体" w:cs="宋体"/>
          <w:b/>
          <w:sz w:val="21"/>
          <w:szCs w:val="21"/>
        </w:rPr>
      </w:pPr>
    </w:p>
    <w:p>
      <w:pPr>
        <w:pStyle w:val="2"/>
        <w:ind w:left="0" w:firstLine="0"/>
        <w:jc w:val="center"/>
        <w:rPr>
          <w:rFonts w:ascii="宋体" w:eastAsia="宋体" w:cs="宋体"/>
          <w:b/>
          <w:sz w:val="21"/>
          <w:szCs w:val="21"/>
        </w:rPr>
      </w:pPr>
    </w:p>
    <w:p>
      <w:pPr>
        <w:pStyle w:val="2"/>
        <w:ind w:left="0" w:firstLine="0"/>
        <w:jc w:val="center"/>
        <w:rPr>
          <w:rFonts w:ascii="宋体" w:eastAsia="宋体" w:cs="宋体"/>
          <w:b/>
          <w:sz w:val="21"/>
          <w:szCs w:val="21"/>
        </w:rPr>
      </w:pPr>
    </w:p>
    <w:p>
      <w:pPr>
        <w:pStyle w:val="2"/>
        <w:ind w:left="0" w:firstLine="0"/>
        <w:jc w:val="both"/>
        <w:rPr>
          <w:rFonts w:ascii="宋体" w:eastAsia="宋体" w:cs="宋体"/>
          <w:b/>
          <w:sz w:val="21"/>
          <w:szCs w:val="21"/>
        </w:rPr>
      </w:pPr>
    </w:p>
    <w:p>
      <w:pPr>
        <w:pStyle w:val="2"/>
        <w:ind w:left="0" w:firstLine="3360" w:firstLineChars="1600"/>
        <w:jc w:val="both"/>
        <w:rPr>
          <w:rFonts w:hint="default" w:ascii="宋体" w:eastAsia="宋体" w:cs="宋体"/>
          <w:b/>
          <w:sz w:val="21"/>
          <w:szCs w:val="21"/>
        </w:rPr>
      </w:pPr>
      <w:r>
        <w:rPr>
          <w:rFonts w:ascii="宋体" w:eastAsia="宋体" w:cs="宋体"/>
          <w:b/>
          <w:sz w:val="21"/>
          <w:szCs w:val="21"/>
        </w:rPr>
        <w:t>第四章 合同样本</w:t>
      </w:r>
      <w:bookmarkEnd w:id="103"/>
      <w:bookmarkEnd w:id="104"/>
    </w:p>
    <w:p>
      <w:pPr>
        <w:widowControl/>
        <w:spacing w:line="480" w:lineRule="auto"/>
        <w:ind w:firstLine="3465" w:firstLineChars="1650"/>
        <w:rPr>
          <w:rFonts w:ascii="宋体" w:hAnsi="宋体" w:eastAsia="宋体" w:cs="宋体"/>
          <w:bCs/>
          <w:kern w:val="0"/>
          <w:szCs w:val="21"/>
        </w:rPr>
      </w:pPr>
      <w:r>
        <w:rPr>
          <w:rFonts w:hint="eastAsia" w:ascii="宋体" w:hAnsi="宋体" w:eastAsia="宋体" w:cs="宋体"/>
          <w:b/>
          <w:kern w:val="0"/>
          <w:szCs w:val="21"/>
        </w:rPr>
        <w:t xml:space="preserve"> 政府采购合同（参考文本）</w:t>
      </w:r>
    </w:p>
    <w:tbl>
      <w:tblPr>
        <w:tblStyle w:val="21"/>
        <w:tblW w:w="0" w:type="auto"/>
        <w:tblInd w:w="108" w:type="dxa"/>
        <w:tblLayout w:type="fixed"/>
        <w:tblCellMar>
          <w:top w:w="0" w:type="dxa"/>
          <w:left w:w="108" w:type="dxa"/>
          <w:bottom w:w="0" w:type="dxa"/>
          <w:right w:w="108" w:type="dxa"/>
        </w:tblCellMar>
      </w:tblPr>
      <w:tblGrid>
        <w:gridCol w:w="9555"/>
      </w:tblGrid>
      <w:tr>
        <w:trPr>
          <w:trHeight w:val="1127" w:hRule="atLeast"/>
        </w:trPr>
        <w:tc>
          <w:tcPr>
            <w:tcW w:w="9555" w:type="dxa"/>
            <w:tcBorders>
              <w:top w:val="single" w:color="000000" w:sz="4" w:space="0"/>
              <w:left w:val="single" w:color="000000" w:sz="4" w:space="0"/>
              <w:bottom w:val="single" w:color="000000" w:sz="4" w:space="0"/>
              <w:right w:val="single" w:color="000000" w:sz="4" w:space="0"/>
            </w:tcBorders>
            <w:shd w:val="clear" w:color="auto" w:fill="auto"/>
          </w:tcPr>
          <w:p>
            <w:pPr>
              <w:widowControl/>
              <w:spacing w:before="120" w:line="500" w:lineRule="exact"/>
              <w:ind w:left="105"/>
              <w:rPr>
                <w:rFonts w:ascii="宋体" w:hAnsi="宋体" w:eastAsia="宋体" w:cs="宋体"/>
                <w:kern w:val="0"/>
                <w:szCs w:val="21"/>
              </w:rPr>
            </w:pPr>
            <w:r>
              <w:rPr>
                <w:rFonts w:hint="eastAsia" w:ascii="宋体" w:hAnsi="宋体" w:eastAsia="宋体" w:cs="宋体"/>
                <w:kern w:val="0"/>
                <w:szCs w:val="21"/>
              </w:rPr>
              <w:t>注释： </w:t>
            </w:r>
          </w:p>
          <w:p>
            <w:pPr>
              <w:widowControl/>
              <w:spacing w:line="500" w:lineRule="exact"/>
              <w:ind w:firstLine="720"/>
              <w:rPr>
                <w:rFonts w:ascii="宋体" w:hAnsi="宋体" w:eastAsia="宋体" w:cs="宋体"/>
                <w:b/>
                <w:spacing w:val="20"/>
                <w:kern w:val="0"/>
                <w:szCs w:val="21"/>
              </w:rPr>
            </w:pPr>
            <w:r>
              <w:rPr>
                <w:rFonts w:hint="eastAsia" w:ascii="宋体" w:hAnsi="宋体" w:eastAsia="宋体" w:cs="宋体"/>
                <w:kern w:val="0"/>
                <w:szCs w:val="21"/>
              </w:rPr>
              <w:t>本《政府采购合同》格式条款仅作为双方签订合同的参考，为阐明各方的权利和义务，经协商可增加新的条款。 但不得与谈判文件、谈判响应文件的实质性内容相背离。</w:t>
            </w:r>
          </w:p>
        </w:tc>
      </w:tr>
    </w:tbl>
    <w:p>
      <w:pPr>
        <w:widowControl/>
        <w:spacing w:line="500" w:lineRule="exact"/>
        <w:ind w:firstLine="420" w:firstLineChars="200"/>
        <w:rPr>
          <w:rFonts w:ascii="宋体" w:hAnsi="宋体" w:eastAsia="宋体" w:cs="宋体"/>
          <w:kern w:val="0"/>
          <w:szCs w:val="21"/>
        </w:rPr>
      </w:pPr>
      <w:r>
        <w:rPr>
          <w:rFonts w:hint="eastAsia" w:ascii="宋体" w:hAnsi="宋体" w:eastAsia="宋体" w:cs="宋体"/>
          <w:kern w:val="0"/>
          <w:szCs w:val="21"/>
        </w:rPr>
        <w:t>合同编号：</w:t>
      </w:r>
    </w:p>
    <w:p>
      <w:pPr>
        <w:widowControl/>
        <w:spacing w:line="500" w:lineRule="exact"/>
        <w:ind w:firstLine="420" w:firstLineChars="200"/>
        <w:rPr>
          <w:rFonts w:ascii="宋体" w:hAnsi="宋体" w:eastAsia="宋体" w:cs="宋体"/>
          <w:kern w:val="0"/>
          <w:szCs w:val="21"/>
        </w:rPr>
      </w:pPr>
      <w:r>
        <w:rPr>
          <w:rFonts w:hint="eastAsia" w:ascii="宋体" w:hAnsi="宋体" w:eastAsia="宋体" w:cs="宋体"/>
          <w:kern w:val="0"/>
          <w:szCs w:val="21"/>
        </w:rPr>
        <w:t xml:space="preserve">甲方(采购人)：                  住所地：                                             </w:t>
      </w:r>
    </w:p>
    <w:p>
      <w:pPr>
        <w:widowControl/>
        <w:spacing w:line="500" w:lineRule="exact"/>
        <w:ind w:firstLine="420" w:firstLineChars="200"/>
        <w:rPr>
          <w:rFonts w:ascii="宋体" w:hAnsi="宋体" w:eastAsia="宋体" w:cs="宋体"/>
          <w:kern w:val="0"/>
          <w:szCs w:val="21"/>
        </w:rPr>
      </w:pPr>
      <w:r>
        <w:rPr>
          <w:rFonts w:hint="eastAsia" w:ascii="宋体" w:hAnsi="宋体" w:eastAsia="宋体" w:cs="宋体"/>
          <w:kern w:val="0"/>
          <w:szCs w:val="21"/>
        </w:rPr>
        <w:t>乙方（中标人）：                住所地：</w:t>
      </w:r>
    </w:p>
    <w:p>
      <w:pPr>
        <w:widowControl/>
        <w:spacing w:line="500" w:lineRule="exact"/>
        <w:ind w:firstLine="420" w:firstLineChars="200"/>
        <w:rPr>
          <w:rFonts w:ascii="宋体" w:hAnsi="宋体" w:eastAsia="宋体" w:cs="宋体"/>
          <w:kern w:val="0"/>
          <w:szCs w:val="21"/>
        </w:rPr>
      </w:pPr>
      <w:r>
        <w:rPr>
          <w:rFonts w:hint="eastAsia" w:ascii="宋体" w:hAnsi="宋体" w:eastAsia="宋体" w:cs="宋体"/>
          <w:kern w:val="0"/>
          <w:szCs w:val="21"/>
        </w:rPr>
        <w:t>合同签订地点：　　　　  　      签订日期：   年   月   日</w:t>
      </w:r>
    </w:p>
    <w:p>
      <w:pPr>
        <w:widowControl/>
        <w:spacing w:line="500" w:lineRule="exact"/>
        <w:ind w:firstLine="560"/>
        <w:jc w:val="left"/>
        <w:rPr>
          <w:rFonts w:ascii="宋体" w:hAnsi="宋体" w:eastAsia="宋体" w:cs="宋体"/>
          <w:kern w:val="0"/>
          <w:szCs w:val="21"/>
        </w:rPr>
      </w:pPr>
      <w:r>
        <w:rPr>
          <w:rFonts w:hint="eastAsia" w:ascii="宋体" w:hAnsi="宋体" w:eastAsia="宋体" w:cs="宋体"/>
          <w:kern w:val="0"/>
          <w:szCs w:val="21"/>
        </w:rPr>
        <w:t>根据《中华人民共和国政府采购法》、《中华人民共和国合同法》等法律法规的规定，甲乙双方按照谈判结果（项目名称：</w:t>
      </w:r>
      <w:r>
        <w:rPr>
          <w:rFonts w:hint="eastAsia" w:ascii="宋体" w:hAnsi="宋体" w:eastAsia="宋体" w:cs="宋体"/>
          <w:kern w:val="0"/>
          <w:szCs w:val="21"/>
          <w:u w:val="single"/>
        </w:rPr>
        <w:t>　　　　　</w:t>
      </w:r>
      <w:r>
        <w:rPr>
          <w:rFonts w:hint="eastAsia" w:ascii="宋体" w:hAnsi="宋体" w:eastAsia="宋体" w:cs="宋体"/>
          <w:kern w:val="0"/>
          <w:szCs w:val="21"/>
        </w:rPr>
        <w:t>，项目编号：</w:t>
      </w:r>
      <w:r>
        <w:rPr>
          <w:rFonts w:hint="eastAsia" w:ascii="宋体" w:hAnsi="宋体" w:eastAsia="宋体" w:cs="宋体"/>
          <w:kern w:val="0"/>
          <w:szCs w:val="21"/>
          <w:u w:val="single"/>
        </w:rPr>
        <w:t>　　　　　　　</w:t>
      </w:r>
      <w:r>
        <w:rPr>
          <w:rFonts w:hint="eastAsia" w:ascii="宋体" w:hAnsi="宋体" w:eastAsia="宋体" w:cs="宋体"/>
          <w:kern w:val="0"/>
          <w:szCs w:val="21"/>
        </w:rPr>
        <w:t>）签订本合同。</w:t>
      </w:r>
    </w:p>
    <w:p>
      <w:pPr>
        <w:widowControl/>
        <w:spacing w:line="500" w:lineRule="exact"/>
        <w:ind w:firstLine="420" w:firstLineChars="200"/>
        <w:rPr>
          <w:rFonts w:ascii="宋体" w:hAnsi="宋体" w:eastAsia="宋体" w:cs="宋体"/>
          <w:kern w:val="0"/>
          <w:szCs w:val="21"/>
        </w:rPr>
      </w:pPr>
      <w:r>
        <w:rPr>
          <w:rFonts w:hint="eastAsia" w:ascii="宋体" w:hAnsi="宋体" w:eastAsia="宋体" w:cs="宋体"/>
          <w:b/>
          <w:kern w:val="0"/>
          <w:szCs w:val="21"/>
        </w:rPr>
        <w:t xml:space="preserve">第一条：合同标的   </w:t>
      </w:r>
      <w:r>
        <w:rPr>
          <w:rFonts w:hint="eastAsia" w:ascii="宋体" w:hAnsi="宋体" w:eastAsia="宋体" w:cs="宋体"/>
          <w:kern w:val="0"/>
          <w:szCs w:val="21"/>
        </w:rPr>
        <w:t>乙方应根据本项目要求按下列清单提供货物（或服务项目的服务范围与内容），包括产品主机、随机备品备件及专用工具等：</w:t>
      </w:r>
    </w:p>
    <w:tbl>
      <w:tblPr>
        <w:tblStyle w:val="21"/>
        <w:tblW w:w="0" w:type="auto"/>
        <w:tblInd w:w="108" w:type="dxa"/>
        <w:tblLayout w:type="fixed"/>
        <w:tblCellMar>
          <w:top w:w="0" w:type="dxa"/>
          <w:left w:w="108" w:type="dxa"/>
          <w:bottom w:w="0" w:type="dxa"/>
          <w:right w:w="108" w:type="dxa"/>
        </w:tblCellMar>
      </w:tblPr>
      <w:tblGrid>
        <w:gridCol w:w="1260"/>
        <w:gridCol w:w="1365"/>
        <w:gridCol w:w="1260"/>
        <w:gridCol w:w="1155"/>
        <w:gridCol w:w="1365"/>
        <w:gridCol w:w="1050"/>
        <w:gridCol w:w="945"/>
        <w:gridCol w:w="1260"/>
      </w:tblGrid>
      <w:tr>
        <w:tblPrEx>
          <w:tblCellMar>
            <w:top w:w="0" w:type="dxa"/>
            <w:left w:w="108" w:type="dxa"/>
            <w:bottom w:w="0" w:type="dxa"/>
            <w:right w:w="108" w:type="dxa"/>
          </w:tblCellMar>
        </w:tblPrEx>
        <w:trPr>
          <w:trHeight w:val="64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00" w:lineRule="exact"/>
              <w:jc w:val="center"/>
              <w:rPr>
                <w:rFonts w:ascii="宋体" w:hAnsi="宋体" w:eastAsia="宋体" w:cs="宋体"/>
                <w:kern w:val="0"/>
                <w:szCs w:val="21"/>
              </w:rPr>
            </w:pPr>
            <w:r>
              <w:rPr>
                <w:rFonts w:hint="eastAsia" w:ascii="宋体" w:hAnsi="宋体" w:eastAsia="宋体" w:cs="宋体"/>
                <w:kern w:val="0"/>
                <w:szCs w:val="21"/>
              </w:rPr>
              <w:t>产品名称</w:t>
            </w:r>
          </w:p>
        </w:tc>
        <w:tc>
          <w:tcPr>
            <w:tcW w:w="1365" w:type="dxa"/>
            <w:tcBorders>
              <w:top w:val="single" w:color="000000" w:sz="4" w:space="0"/>
              <w:left w:val="nil"/>
              <w:bottom w:val="single" w:color="000000" w:sz="4" w:space="0"/>
              <w:right w:val="single" w:color="000000" w:sz="4" w:space="0"/>
            </w:tcBorders>
            <w:shd w:val="clear" w:color="auto" w:fill="auto"/>
            <w:vAlign w:val="center"/>
          </w:tcPr>
          <w:p>
            <w:pPr>
              <w:widowControl/>
              <w:spacing w:line="500" w:lineRule="exact"/>
              <w:jc w:val="center"/>
              <w:rPr>
                <w:rFonts w:ascii="宋体" w:hAnsi="宋体" w:eastAsia="宋体" w:cs="宋体"/>
                <w:kern w:val="0"/>
                <w:szCs w:val="21"/>
              </w:rPr>
            </w:pPr>
            <w:r>
              <w:rPr>
                <w:rFonts w:hint="eastAsia" w:ascii="宋体" w:hAnsi="宋体" w:eastAsia="宋体" w:cs="宋体"/>
                <w:kern w:val="0"/>
                <w:szCs w:val="21"/>
              </w:rPr>
              <w:t>规格型号</w:t>
            </w:r>
          </w:p>
        </w:tc>
        <w:tc>
          <w:tcPr>
            <w:tcW w:w="1260" w:type="dxa"/>
            <w:tcBorders>
              <w:top w:val="single" w:color="000000" w:sz="4" w:space="0"/>
              <w:left w:val="nil"/>
              <w:bottom w:val="single" w:color="000000" w:sz="4" w:space="0"/>
              <w:right w:val="single" w:color="000000" w:sz="4" w:space="0"/>
            </w:tcBorders>
            <w:shd w:val="clear" w:color="auto" w:fill="auto"/>
            <w:vAlign w:val="center"/>
          </w:tcPr>
          <w:p>
            <w:pPr>
              <w:widowControl/>
              <w:spacing w:line="500" w:lineRule="exact"/>
              <w:jc w:val="center"/>
              <w:rPr>
                <w:rFonts w:ascii="宋体" w:hAnsi="宋体" w:eastAsia="宋体" w:cs="宋体"/>
                <w:kern w:val="0"/>
                <w:szCs w:val="21"/>
              </w:rPr>
            </w:pPr>
            <w:r>
              <w:rPr>
                <w:rFonts w:hint="eastAsia" w:ascii="宋体" w:hAnsi="宋体" w:eastAsia="宋体" w:cs="宋体"/>
                <w:kern w:val="0"/>
                <w:szCs w:val="21"/>
              </w:rPr>
              <w:t>生产厂家</w:t>
            </w:r>
          </w:p>
        </w:tc>
        <w:tc>
          <w:tcPr>
            <w:tcW w:w="1155" w:type="dxa"/>
            <w:tcBorders>
              <w:top w:val="single" w:color="000000" w:sz="4" w:space="0"/>
              <w:left w:val="nil"/>
              <w:bottom w:val="single" w:color="000000" w:sz="4" w:space="0"/>
              <w:right w:val="single" w:color="000000" w:sz="4" w:space="0"/>
            </w:tcBorders>
            <w:shd w:val="clear" w:color="auto" w:fill="auto"/>
            <w:vAlign w:val="center"/>
          </w:tcPr>
          <w:p>
            <w:pPr>
              <w:widowControl/>
              <w:spacing w:line="500" w:lineRule="exact"/>
              <w:jc w:val="center"/>
              <w:rPr>
                <w:rFonts w:ascii="宋体" w:hAnsi="宋体" w:eastAsia="宋体" w:cs="宋体"/>
                <w:kern w:val="0"/>
                <w:szCs w:val="21"/>
              </w:rPr>
            </w:pPr>
            <w:r>
              <w:rPr>
                <w:rFonts w:hint="eastAsia" w:ascii="宋体" w:hAnsi="宋体" w:eastAsia="宋体" w:cs="宋体"/>
                <w:kern w:val="0"/>
                <w:szCs w:val="21"/>
              </w:rPr>
              <w:t>数量</w:t>
            </w:r>
          </w:p>
        </w:tc>
        <w:tc>
          <w:tcPr>
            <w:tcW w:w="1365" w:type="dxa"/>
            <w:tcBorders>
              <w:top w:val="single" w:color="000000" w:sz="4" w:space="0"/>
              <w:left w:val="nil"/>
              <w:bottom w:val="single" w:color="000000" w:sz="4" w:space="0"/>
              <w:right w:val="single" w:color="000000" w:sz="4" w:space="0"/>
            </w:tcBorders>
            <w:shd w:val="clear" w:color="auto" w:fill="auto"/>
            <w:vAlign w:val="center"/>
          </w:tcPr>
          <w:p>
            <w:pPr>
              <w:widowControl/>
              <w:spacing w:line="500" w:lineRule="exact"/>
              <w:jc w:val="center"/>
              <w:rPr>
                <w:rFonts w:ascii="宋体" w:hAnsi="宋体" w:eastAsia="宋体" w:cs="宋体"/>
                <w:kern w:val="0"/>
                <w:szCs w:val="21"/>
              </w:rPr>
            </w:pPr>
            <w:r>
              <w:rPr>
                <w:rFonts w:hint="eastAsia" w:ascii="宋体" w:hAnsi="宋体" w:eastAsia="宋体" w:cs="宋体"/>
                <w:kern w:val="0"/>
                <w:szCs w:val="21"/>
              </w:rPr>
              <w:t>数 量</w:t>
            </w:r>
          </w:p>
          <w:p>
            <w:pPr>
              <w:widowControl/>
              <w:spacing w:line="500" w:lineRule="exact"/>
              <w:jc w:val="center"/>
              <w:rPr>
                <w:rFonts w:ascii="宋体" w:hAnsi="宋体" w:eastAsia="宋体" w:cs="宋体"/>
                <w:kern w:val="0"/>
                <w:szCs w:val="21"/>
              </w:rPr>
            </w:pPr>
            <w:r>
              <w:rPr>
                <w:rFonts w:hint="eastAsia" w:ascii="宋体" w:hAnsi="宋体" w:eastAsia="宋体" w:cs="宋体"/>
                <w:kern w:val="0"/>
                <w:szCs w:val="21"/>
              </w:rPr>
              <w:t>单 位</w:t>
            </w:r>
          </w:p>
        </w:tc>
        <w:tc>
          <w:tcPr>
            <w:tcW w:w="1050" w:type="dxa"/>
            <w:tcBorders>
              <w:top w:val="single" w:color="000000" w:sz="4" w:space="0"/>
              <w:left w:val="nil"/>
              <w:bottom w:val="single" w:color="000000" w:sz="4" w:space="0"/>
              <w:right w:val="single" w:color="000000" w:sz="4" w:space="0"/>
            </w:tcBorders>
            <w:shd w:val="clear" w:color="auto" w:fill="auto"/>
            <w:vAlign w:val="center"/>
          </w:tcPr>
          <w:p>
            <w:pPr>
              <w:widowControl/>
              <w:spacing w:line="500" w:lineRule="exact"/>
              <w:jc w:val="center"/>
              <w:rPr>
                <w:rFonts w:ascii="宋体" w:hAnsi="宋体" w:eastAsia="宋体" w:cs="宋体"/>
                <w:kern w:val="0"/>
                <w:szCs w:val="21"/>
              </w:rPr>
            </w:pPr>
            <w:r>
              <w:rPr>
                <w:rFonts w:hint="eastAsia" w:ascii="宋体" w:hAnsi="宋体" w:eastAsia="宋体" w:cs="宋体"/>
                <w:kern w:val="0"/>
                <w:szCs w:val="21"/>
              </w:rPr>
              <w:t>单 价</w:t>
            </w:r>
          </w:p>
        </w:tc>
        <w:tc>
          <w:tcPr>
            <w:tcW w:w="945" w:type="dxa"/>
            <w:tcBorders>
              <w:top w:val="single" w:color="000000" w:sz="4" w:space="0"/>
              <w:left w:val="nil"/>
              <w:bottom w:val="single" w:color="000000" w:sz="4" w:space="0"/>
              <w:right w:val="single" w:color="000000" w:sz="4" w:space="0"/>
            </w:tcBorders>
            <w:shd w:val="clear" w:color="auto" w:fill="auto"/>
            <w:vAlign w:val="center"/>
          </w:tcPr>
          <w:p>
            <w:pPr>
              <w:widowControl/>
              <w:spacing w:line="500" w:lineRule="exact"/>
              <w:jc w:val="center"/>
              <w:rPr>
                <w:rFonts w:ascii="宋体" w:hAnsi="宋体" w:eastAsia="宋体" w:cs="宋体"/>
                <w:kern w:val="0"/>
                <w:szCs w:val="21"/>
              </w:rPr>
            </w:pPr>
            <w:r>
              <w:rPr>
                <w:rFonts w:hint="eastAsia" w:ascii="宋体" w:hAnsi="宋体" w:eastAsia="宋体" w:cs="宋体"/>
                <w:kern w:val="0"/>
                <w:szCs w:val="21"/>
              </w:rPr>
              <w:t>总 价</w:t>
            </w:r>
          </w:p>
        </w:tc>
        <w:tc>
          <w:tcPr>
            <w:tcW w:w="1260" w:type="dxa"/>
            <w:tcBorders>
              <w:top w:val="single" w:color="000000" w:sz="4" w:space="0"/>
              <w:left w:val="nil"/>
              <w:bottom w:val="single" w:color="000000" w:sz="4" w:space="0"/>
              <w:right w:val="single" w:color="000000" w:sz="4" w:space="0"/>
            </w:tcBorders>
            <w:shd w:val="clear" w:color="auto" w:fill="auto"/>
            <w:vAlign w:val="center"/>
          </w:tcPr>
          <w:p>
            <w:pPr>
              <w:widowControl/>
              <w:spacing w:line="500" w:lineRule="exact"/>
              <w:jc w:val="center"/>
              <w:rPr>
                <w:rFonts w:ascii="宋体" w:hAnsi="宋体" w:eastAsia="宋体" w:cs="宋体"/>
                <w:kern w:val="0"/>
                <w:szCs w:val="21"/>
              </w:rPr>
            </w:pPr>
            <w:r>
              <w:rPr>
                <w:rFonts w:hint="eastAsia" w:ascii="宋体" w:hAnsi="宋体" w:eastAsia="宋体" w:cs="宋体"/>
                <w:kern w:val="0"/>
                <w:szCs w:val="21"/>
              </w:rPr>
              <w:t>服务期</w:t>
            </w:r>
          </w:p>
        </w:tc>
      </w:tr>
      <w:tr>
        <w:tblPrEx>
          <w:tblCellMar>
            <w:top w:w="0" w:type="dxa"/>
            <w:left w:w="108" w:type="dxa"/>
            <w:bottom w:w="0" w:type="dxa"/>
            <w:right w:w="108" w:type="dxa"/>
          </w:tblCellMar>
        </w:tblPrEx>
        <w:trPr>
          <w:trHeight w:val="319" w:hRule="exact"/>
        </w:trPr>
        <w:tc>
          <w:tcPr>
            <w:tcW w:w="1260" w:type="dxa"/>
            <w:tcBorders>
              <w:top w:val="single" w:color="000000" w:sz="4" w:space="0"/>
              <w:left w:val="single" w:color="000000" w:sz="4" w:space="0"/>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365"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260"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155"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365"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050"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945"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260"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r>
      <w:tr>
        <w:tblPrEx>
          <w:tblCellMar>
            <w:top w:w="0" w:type="dxa"/>
            <w:left w:w="108" w:type="dxa"/>
            <w:bottom w:w="0" w:type="dxa"/>
            <w:right w:w="108" w:type="dxa"/>
          </w:tblCellMar>
        </w:tblPrEx>
        <w:trPr>
          <w:trHeight w:val="308" w:hRule="exact"/>
        </w:trPr>
        <w:tc>
          <w:tcPr>
            <w:tcW w:w="1260" w:type="dxa"/>
            <w:tcBorders>
              <w:top w:val="single" w:color="000000" w:sz="4" w:space="0"/>
              <w:left w:val="single" w:color="000000" w:sz="4" w:space="0"/>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365"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260"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155"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365"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050"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945"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260"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r>
      <w:tr>
        <w:tblPrEx>
          <w:tblCellMar>
            <w:top w:w="0" w:type="dxa"/>
            <w:left w:w="108" w:type="dxa"/>
            <w:bottom w:w="0" w:type="dxa"/>
            <w:right w:w="108" w:type="dxa"/>
          </w:tblCellMar>
        </w:tblPrEx>
        <w:trPr>
          <w:trHeight w:val="329" w:hRule="exact"/>
        </w:trPr>
        <w:tc>
          <w:tcPr>
            <w:tcW w:w="1260" w:type="dxa"/>
            <w:tcBorders>
              <w:top w:val="single" w:color="000000" w:sz="4" w:space="0"/>
              <w:left w:val="single" w:color="000000" w:sz="4" w:space="0"/>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365"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260"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155"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365"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050"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945"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260"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r>
      <w:tr>
        <w:tblPrEx>
          <w:tblCellMar>
            <w:top w:w="0" w:type="dxa"/>
            <w:left w:w="108" w:type="dxa"/>
            <w:bottom w:w="0" w:type="dxa"/>
            <w:right w:w="108" w:type="dxa"/>
          </w:tblCellMar>
        </w:tblPrEx>
        <w:trPr>
          <w:trHeight w:val="349" w:hRule="exact"/>
        </w:trPr>
        <w:tc>
          <w:tcPr>
            <w:tcW w:w="1260" w:type="dxa"/>
            <w:tcBorders>
              <w:top w:val="single" w:color="000000" w:sz="4" w:space="0"/>
              <w:left w:val="single" w:color="000000" w:sz="4" w:space="0"/>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365"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260"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155"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365"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050"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945"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c>
          <w:tcPr>
            <w:tcW w:w="1260" w:type="dxa"/>
            <w:tcBorders>
              <w:top w:val="single" w:color="000000" w:sz="4" w:space="0"/>
              <w:left w:val="nil"/>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p>
        </w:tc>
      </w:tr>
      <w:tr>
        <w:tblPrEx>
          <w:tblCellMar>
            <w:top w:w="0" w:type="dxa"/>
            <w:left w:w="108" w:type="dxa"/>
            <w:bottom w:w="0" w:type="dxa"/>
            <w:right w:w="108" w:type="dxa"/>
          </w:tblCellMar>
        </w:tblPrEx>
        <w:trPr>
          <w:trHeight w:val="599" w:hRule="atLeast"/>
        </w:trPr>
        <w:tc>
          <w:tcPr>
            <w:tcW w:w="9660" w:type="dxa"/>
            <w:gridSpan w:val="8"/>
            <w:tcBorders>
              <w:top w:val="single" w:color="000000" w:sz="4" w:space="0"/>
              <w:left w:val="single" w:color="000000" w:sz="4" w:space="0"/>
              <w:bottom w:val="single" w:color="000000" w:sz="4" w:space="0"/>
              <w:right w:val="single" w:color="000000" w:sz="4" w:space="0"/>
            </w:tcBorders>
            <w:shd w:val="clear" w:color="auto" w:fill="auto"/>
          </w:tcPr>
          <w:p>
            <w:pPr>
              <w:widowControl/>
              <w:spacing w:line="500" w:lineRule="exact"/>
              <w:rPr>
                <w:rFonts w:ascii="宋体" w:hAnsi="宋体" w:eastAsia="宋体" w:cs="宋体"/>
                <w:kern w:val="0"/>
                <w:szCs w:val="21"/>
              </w:rPr>
            </w:pPr>
            <w:r>
              <w:rPr>
                <w:rFonts w:hint="eastAsia" w:ascii="宋体" w:hAnsi="宋体" w:eastAsia="宋体" w:cs="宋体"/>
                <w:kern w:val="0"/>
                <w:szCs w:val="21"/>
              </w:rPr>
              <w:t>合同总金额（大写）人民币（¥：）</w:t>
            </w:r>
          </w:p>
        </w:tc>
      </w:tr>
    </w:tbl>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b/>
          <w:kern w:val="0"/>
          <w:szCs w:val="21"/>
        </w:rPr>
        <w:t xml:space="preserve">第二条：合同总价款    </w:t>
      </w:r>
      <w:r>
        <w:rPr>
          <w:rFonts w:hint="eastAsia" w:ascii="宋体" w:hAnsi="宋体" w:eastAsia="宋体" w:cs="宋体"/>
          <w:kern w:val="0"/>
          <w:szCs w:val="21"/>
        </w:rPr>
        <w:t>本合同项下货物（服务）的总价款为人民币（大写）：</w:t>
      </w:r>
      <w:r>
        <w:rPr>
          <w:rFonts w:hint="eastAsia" w:ascii="宋体" w:hAnsi="宋体" w:eastAsia="宋体" w:cs="宋体"/>
          <w:bCs/>
          <w:kern w:val="0"/>
          <w:szCs w:val="21"/>
        </w:rPr>
        <w:t>（</w:t>
      </w:r>
      <w:r>
        <w:rPr>
          <w:rFonts w:hint="eastAsia" w:ascii="宋体" w:hAnsi="宋体" w:eastAsia="宋体" w:cs="宋体"/>
          <w:kern w:val="0"/>
          <w:szCs w:val="21"/>
        </w:rPr>
        <w:t>￥：</w:t>
      </w:r>
      <w:r>
        <w:rPr>
          <w:rFonts w:hint="eastAsia" w:ascii="宋体" w:hAnsi="宋体" w:eastAsia="宋体" w:cs="宋体"/>
          <w:kern w:val="0"/>
          <w:szCs w:val="21"/>
          <w:u w:val="single"/>
        </w:rPr>
        <w:t>　　　　　</w:t>
      </w:r>
      <w:r>
        <w:rPr>
          <w:rFonts w:hint="eastAsia" w:ascii="宋体" w:hAnsi="宋体" w:eastAsia="宋体" w:cs="宋体"/>
          <w:kern w:val="0"/>
          <w:szCs w:val="21"/>
        </w:rPr>
        <w:t>）。合同总价款中包含：本招标采购对象，及与之相关的</w:t>
      </w:r>
      <w:r>
        <w:rPr>
          <w:rFonts w:hint="eastAsia" w:ascii="宋体" w:hAnsi="宋体" w:eastAsia="宋体" w:cs="宋体"/>
          <w:szCs w:val="21"/>
        </w:rPr>
        <w:t>货物设计、制造、包装、运输、装卸、</w:t>
      </w:r>
      <w:r>
        <w:rPr>
          <w:rFonts w:hint="eastAsia" w:ascii="宋体" w:hAnsi="宋体" w:eastAsia="宋体" w:cs="宋体"/>
          <w:kern w:val="0"/>
          <w:szCs w:val="21"/>
        </w:rPr>
        <w:t>安装、调试、</w:t>
      </w:r>
      <w:r>
        <w:rPr>
          <w:rFonts w:hint="eastAsia" w:ascii="宋体" w:hAnsi="宋体" w:eastAsia="宋体" w:cs="宋体"/>
          <w:szCs w:val="21"/>
        </w:rPr>
        <w:t>质量检验、各项税费、保险费、意外事故、等</w:t>
      </w:r>
      <w:r>
        <w:rPr>
          <w:rFonts w:hint="eastAsia" w:ascii="宋体" w:hAnsi="宋体" w:eastAsia="宋体" w:cs="宋体"/>
          <w:kern w:val="0"/>
          <w:szCs w:val="21"/>
        </w:rPr>
        <w:t>验收合格前全部</w:t>
      </w:r>
      <w:r>
        <w:rPr>
          <w:rFonts w:hint="eastAsia" w:ascii="宋体" w:hAnsi="宋体" w:eastAsia="宋体" w:cs="宋体"/>
          <w:szCs w:val="21"/>
        </w:rPr>
        <w:t>费用</w:t>
      </w:r>
      <w:r>
        <w:rPr>
          <w:rFonts w:hint="eastAsia" w:ascii="宋体" w:hAnsi="宋体" w:eastAsia="宋体" w:cs="宋体"/>
          <w:kern w:val="0"/>
          <w:szCs w:val="21"/>
        </w:rPr>
        <w:t>，以及备品备件、专用工具、技术培训、技术资料、保修期内的各项保修和系统维护费用、相应的伴随服务和售后服务费用等。</w:t>
      </w:r>
    </w:p>
    <w:p>
      <w:pPr>
        <w:pStyle w:val="8"/>
        <w:widowControl/>
        <w:spacing w:line="500" w:lineRule="exact"/>
        <w:ind w:firstLine="420" w:firstLineChars="200"/>
        <w:rPr>
          <w:rFonts w:hint="default" w:hAnsi="宋体"/>
          <w:kern w:val="0"/>
        </w:rPr>
      </w:pPr>
      <w:r>
        <w:rPr>
          <w:rFonts w:hAnsi="宋体"/>
          <w:b/>
          <w:kern w:val="0"/>
        </w:rPr>
        <w:t>第三条：组成本合同的有关文件　　</w:t>
      </w:r>
      <w:r>
        <w:rPr>
          <w:rFonts w:hAnsi="宋体"/>
          <w:kern w:val="0"/>
        </w:rPr>
        <w:t>本项目的谈判文件及补充文件、乙方谈判响应文件、中标通知书、经双方和有关监督部门同意的相关变更、补充协议、澄清确认函（如果有的话）及与本次采购活动相关的文件及附件是本合同不可分割的组成部分，与本合同具有同等法律效力。构成本合同组成部分的洽商、变更等书面协议或文件，其优先顺序应视其内容与本合同及其他文件的关系而定。</w:t>
      </w:r>
    </w:p>
    <w:p>
      <w:pPr>
        <w:pStyle w:val="8"/>
        <w:widowControl/>
        <w:spacing w:line="500" w:lineRule="exact"/>
        <w:ind w:firstLine="420" w:firstLineChars="200"/>
        <w:rPr>
          <w:rFonts w:hint="default" w:hAnsi="宋体"/>
          <w:b/>
          <w:kern w:val="0"/>
        </w:rPr>
      </w:pPr>
      <w:r>
        <w:rPr>
          <w:rFonts w:hAnsi="宋体"/>
          <w:b/>
          <w:kern w:val="0"/>
        </w:rPr>
        <w:t>第四条权利保证　　</w:t>
      </w:r>
      <w:r>
        <w:rPr>
          <w:rFonts w:hAnsi="宋体"/>
          <w:kern w:val="0"/>
        </w:rPr>
        <w:t>乙方应保证甲方在使用该货物（服务）或其任何一部分时不受第三方提出侵犯其专利权、版权、商标权或其他权利的起诉。一旦出现侵权，乙方应承担全部责任。</w:t>
      </w:r>
    </w:p>
    <w:p>
      <w:pPr>
        <w:widowControl/>
        <w:spacing w:line="500" w:lineRule="exact"/>
        <w:ind w:firstLine="420" w:firstLineChars="200"/>
        <w:jc w:val="left"/>
        <w:rPr>
          <w:rFonts w:ascii="宋体" w:hAnsi="宋体" w:eastAsia="宋体" w:cs="宋体"/>
          <w:b/>
          <w:kern w:val="0"/>
          <w:szCs w:val="21"/>
        </w:rPr>
      </w:pPr>
      <w:r>
        <w:rPr>
          <w:rFonts w:hint="eastAsia" w:ascii="宋体" w:hAnsi="宋体" w:eastAsia="宋体" w:cs="宋体"/>
          <w:b/>
          <w:kern w:val="0"/>
          <w:szCs w:val="21"/>
        </w:rPr>
        <w:t>第五条  质量保证</w:t>
      </w:r>
    </w:p>
    <w:p>
      <w:pPr>
        <w:widowControl/>
        <w:spacing w:line="500" w:lineRule="exact"/>
        <w:ind w:firstLine="420" w:firstLineChars="200"/>
        <w:jc w:val="left"/>
        <w:rPr>
          <w:rFonts w:ascii="宋体" w:hAnsi="宋体" w:eastAsia="宋体" w:cs="宋体"/>
          <w:b/>
          <w:kern w:val="0"/>
          <w:szCs w:val="21"/>
        </w:rPr>
      </w:pPr>
      <w:r>
        <w:rPr>
          <w:rFonts w:hint="eastAsia" w:ascii="宋体" w:hAnsi="宋体" w:eastAsia="宋体" w:cs="宋体"/>
          <w:kern w:val="0"/>
          <w:szCs w:val="21"/>
        </w:rPr>
        <w:t>1、乙方所提供的货物（服务）的技术规格标准应与谈判文件规定的技术规格标准相一致；若技术性能标准无特殊说明，则按国家有关部门最新颁布的标准及规范为准。</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2、乙方应保证货物是全新、未使用过的原装合格正品，并完全符合本项目规定的质量、规格和性能的要求。乙方应保证其提供的货物在正确安装、正常使用和保养条件下，在其使用寿命期限内具有良好的性能。货物验收后，在质保期内，乙方应对由于设计、工艺或材料的缺陷所发生的任何不足或故障负责，所需费用由乙方承担。</w:t>
      </w:r>
    </w:p>
    <w:p>
      <w:pPr>
        <w:widowControl/>
        <w:spacing w:line="500" w:lineRule="exact"/>
        <w:ind w:firstLine="420" w:firstLineChars="200"/>
        <w:jc w:val="left"/>
        <w:rPr>
          <w:rFonts w:ascii="宋体" w:hAnsi="宋体" w:eastAsia="宋体" w:cs="宋体"/>
          <w:b/>
          <w:kern w:val="0"/>
          <w:szCs w:val="21"/>
        </w:rPr>
      </w:pPr>
      <w:r>
        <w:rPr>
          <w:rFonts w:hint="eastAsia" w:ascii="宋体" w:hAnsi="宋体" w:eastAsia="宋体" w:cs="宋体"/>
          <w:b/>
          <w:kern w:val="0"/>
          <w:szCs w:val="21"/>
        </w:rPr>
        <w:t>第六条  包装要求</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1、除合同另有规定外，乙方提供的全部货物均应按标准保护措施进行包装。该包装应适应于远距离运输、防潮、防震、防锈和防野蛮装卸，以确保货物安全无损运抵指定地点。由于包装不善所引起的货物损失均由乙方承担。</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2、每一包装单元内应附详细的装箱单和质量合格凭证。</w:t>
      </w:r>
    </w:p>
    <w:p>
      <w:pPr>
        <w:widowControl/>
        <w:spacing w:line="500" w:lineRule="exact"/>
        <w:ind w:firstLine="420" w:firstLineChars="200"/>
        <w:jc w:val="left"/>
        <w:rPr>
          <w:rFonts w:ascii="宋体" w:hAnsi="宋体" w:eastAsia="宋体" w:cs="宋体"/>
          <w:b/>
          <w:kern w:val="0"/>
          <w:szCs w:val="21"/>
        </w:rPr>
      </w:pPr>
      <w:r>
        <w:rPr>
          <w:rFonts w:hint="eastAsia" w:ascii="宋体" w:hAnsi="宋体" w:eastAsia="宋体" w:cs="宋体"/>
          <w:b/>
          <w:kern w:val="0"/>
          <w:szCs w:val="21"/>
        </w:rPr>
        <w:t>第七条  交货和验收</w:t>
      </w:r>
    </w:p>
    <w:p>
      <w:pPr>
        <w:widowControl/>
        <w:spacing w:line="500" w:lineRule="exact"/>
        <w:ind w:firstLine="420" w:firstLineChars="200"/>
        <w:rPr>
          <w:rFonts w:ascii="宋体" w:hAnsi="宋体" w:eastAsia="宋体" w:cs="宋体"/>
          <w:kern w:val="0"/>
          <w:szCs w:val="21"/>
        </w:rPr>
      </w:pPr>
      <w:r>
        <w:rPr>
          <w:rFonts w:hint="eastAsia" w:ascii="宋体" w:hAnsi="宋体" w:eastAsia="宋体" w:cs="宋体"/>
          <w:kern w:val="0"/>
          <w:szCs w:val="21"/>
        </w:rPr>
        <w:t>1、交货（服务）地点：</w:t>
      </w:r>
    </w:p>
    <w:p>
      <w:pPr>
        <w:widowControl/>
        <w:spacing w:line="500" w:lineRule="exact"/>
        <w:ind w:firstLine="420" w:firstLineChars="200"/>
        <w:rPr>
          <w:rFonts w:ascii="宋体" w:hAnsi="宋体" w:eastAsia="宋体" w:cs="宋体"/>
          <w:kern w:val="0"/>
          <w:szCs w:val="21"/>
          <w:u w:val="single"/>
        </w:rPr>
      </w:pPr>
      <w:r>
        <w:rPr>
          <w:rFonts w:hint="eastAsia" w:ascii="宋体" w:hAnsi="宋体" w:eastAsia="宋体" w:cs="宋体"/>
          <w:kern w:val="0"/>
          <w:szCs w:val="21"/>
        </w:rPr>
        <w:t>2、交货（服务）期限：</w:t>
      </w:r>
      <w:r>
        <w:rPr>
          <w:rFonts w:hint="eastAsia" w:ascii="宋体" w:hAnsi="宋体" w:eastAsia="宋体" w:cs="宋体"/>
          <w:kern w:val="0"/>
          <w:szCs w:val="21"/>
          <w:u w:val="single"/>
        </w:rPr>
        <w:t>　　</w:t>
      </w:r>
      <w:r>
        <w:rPr>
          <w:rFonts w:hint="eastAsia" w:ascii="宋体" w:hAnsi="宋体" w:eastAsia="宋体" w:cs="宋体"/>
          <w:kern w:val="0"/>
          <w:szCs w:val="21"/>
        </w:rPr>
        <w:t>天，从</w:t>
      </w:r>
      <w:r>
        <w:rPr>
          <w:rFonts w:hint="eastAsia" w:ascii="宋体" w:hAnsi="宋体" w:eastAsia="宋体" w:cs="宋体"/>
          <w:kern w:val="0"/>
          <w:szCs w:val="21"/>
          <w:u w:val="single"/>
        </w:rPr>
        <w:t>　　　　　</w:t>
      </w:r>
      <w:r>
        <w:rPr>
          <w:rFonts w:hint="eastAsia" w:ascii="宋体" w:hAnsi="宋体" w:eastAsia="宋体" w:cs="宋体"/>
          <w:kern w:val="0"/>
          <w:szCs w:val="21"/>
        </w:rPr>
        <w:t>计算。</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3、乙方交付的货物（服务）应当完全符合本合同、谈判文件及谈判响应文件所规定的货物、数量和规格要求，不符要求的，甲方有权拒收货物，由此引起的风险，由乙方承担。</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4、货物的到货验收包括：型号、规格、数量、外观质量、及货物包装是否完好。</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5、乙方应将所提供货物的装箱清单、用户手册、原厂保修卡、随机资料及配件、随机工具等交付给甲方；乙方不能完整交付货物及本款规定的单证和工具的，视为未按合同约定交货，乙方负责补齐，因此导致逾期交付的，由乙方承担相关的违约责任。</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6、甲方应当在到货后的</w:t>
      </w:r>
      <w:r>
        <w:rPr>
          <w:rFonts w:hint="eastAsia" w:ascii="宋体" w:hAnsi="宋体" w:eastAsia="宋体" w:cs="宋体"/>
          <w:kern w:val="0"/>
          <w:szCs w:val="21"/>
          <w:u w:val="single"/>
        </w:rPr>
        <w:t>　　　　</w:t>
      </w:r>
      <w:r>
        <w:rPr>
          <w:rFonts w:hint="eastAsia" w:ascii="宋体" w:hAnsi="宋体" w:eastAsia="宋体" w:cs="宋体"/>
          <w:kern w:val="0"/>
          <w:szCs w:val="21"/>
        </w:rPr>
        <w:t>日内对货物进行验收；需要乙方对货物或系统进行安装调试的，甲方应在货物安装调试后的</w:t>
      </w:r>
      <w:r>
        <w:rPr>
          <w:rFonts w:hint="eastAsia" w:ascii="宋体" w:hAnsi="宋体" w:eastAsia="宋体" w:cs="宋体"/>
          <w:kern w:val="0"/>
          <w:szCs w:val="21"/>
          <w:u w:val="single"/>
        </w:rPr>
        <w:t>　　　　</w:t>
      </w:r>
      <w:r>
        <w:rPr>
          <w:rFonts w:hint="eastAsia" w:ascii="宋体" w:hAnsi="宋体" w:eastAsia="宋体" w:cs="宋体"/>
          <w:kern w:val="0"/>
          <w:szCs w:val="21"/>
        </w:rPr>
        <w:t>日内进行质量验收。验收合格的，由甲方签署验收单并加盖单位公章。谈判文件对检验期限另有规定的，从其规定。</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7、货物和系统调试验收的标准：按行业通行标准、厂方出厂标准和乙方谈判响应文件的承诺（详细标准可在合同附件载明，且不得低于国家相关标准）。</w:t>
      </w:r>
    </w:p>
    <w:p>
      <w:pPr>
        <w:widowControl/>
        <w:spacing w:line="500" w:lineRule="exact"/>
        <w:ind w:firstLine="420" w:firstLineChars="200"/>
        <w:jc w:val="left"/>
        <w:rPr>
          <w:rFonts w:ascii="宋体" w:hAnsi="宋体" w:eastAsia="宋体" w:cs="宋体"/>
          <w:b/>
          <w:kern w:val="0"/>
          <w:szCs w:val="21"/>
        </w:rPr>
      </w:pPr>
      <w:r>
        <w:rPr>
          <w:rFonts w:hint="eastAsia" w:ascii="宋体" w:hAnsi="宋体" w:eastAsia="宋体" w:cs="宋体"/>
          <w:b/>
          <w:kern w:val="0"/>
          <w:szCs w:val="21"/>
        </w:rPr>
        <w:t>第八条  伴随服务及售后服务</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1、乙方应按照国家有关法律法规规定和“三包”规定以及乙方对本项目的“服务承诺”提供服务。</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2、除前款规定外，乙方还应提供下列服务：</w:t>
      </w:r>
    </w:p>
    <w:p>
      <w:pPr>
        <w:widowControl/>
        <w:spacing w:line="500" w:lineRule="exact"/>
        <w:jc w:val="left"/>
        <w:rPr>
          <w:rFonts w:ascii="宋体" w:hAnsi="宋体" w:eastAsia="宋体" w:cs="宋体"/>
          <w:kern w:val="0"/>
          <w:szCs w:val="21"/>
        </w:rPr>
      </w:pPr>
      <w:r>
        <w:rPr>
          <w:rFonts w:hint="eastAsia" w:ascii="宋体" w:hAnsi="宋体" w:eastAsia="宋体" w:cs="宋体"/>
          <w:kern w:val="0"/>
          <w:szCs w:val="21"/>
        </w:rPr>
        <w:t xml:space="preserve">   （1）货物的现场安装、调试及启动监督；</w:t>
      </w:r>
    </w:p>
    <w:p>
      <w:pPr>
        <w:widowControl/>
        <w:spacing w:line="500" w:lineRule="exact"/>
        <w:jc w:val="left"/>
        <w:rPr>
          <w:rFonts w:ascii="宋体" w:hAnsi="宋体" w:eastAsia="宋体" w:cs="宋体"/>
          <w:kern w:val="0"/>
          <w:szCs w:val="21"/>
        </w:rPr>
      </w:pPr>
      <w:r>
        <w:rPr>
          <w:rFonts w:hint="eastAsia" w:ascii="宋体" w:hAnsi="宋体" w:eastAsia="宋体" w:cs="宋体"/>
          <w:kern w:val="0"/>
          <w:szCs w:val="21"/>
        </w:rPr>
        <w:t xml:space="preserve">   （2）就货物的安装、启动、运行及维护等对甲方人员进行免费培训。</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3、若谈判文件中不包含有关伴随服务或售后服务的承诺，双方作如下约定：</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3.1、 乙方应为甲方提供免费培训服务，并指派专人负责与甲方联系售后服务事宜。主要培训内容为货物的基本结构、性能、主要部件的构造及处理，日常使用操作、保养与管理、常见故障的排除、紧急情况的处理等，如甲方未使用过同类型货物，乙方还需就货物的功能对甲方人员进行相应的技术培训，培训地点主要在货物安装现场或由甲方安排。</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3.2、 货物中若包含电脑产品则由乙方提供至少年的整机保修和系统维护；若为其他货物则按生产厂家的标准执行，但不得少于 </w:t>
      </w:r>
      <w:r>
        <w:rPr>
          <w:rFonts w:hint="eastAsia" w:ascii="宋体" w:hAnsi="宋体" w:eastAsia="宋体" w:cs="宋体"/>
          <w:kern w:val="0"/>
          <w:szCs w:val="21"/>
          <w:u w:val="single"/>
        </w:rPr>
        <w:t>1</w:t>
      </w:r>
      <w:r>
        <w:rPr>
          <w:rFonts w:hint="eastAsia" w:ascii="宋体" w:hAnsi="宋体" w:eastAsia="宋体" w:cs="宋体"/>
          <w:kern w:val="0"/>
          <w:szCs w:val="21"/>
        </w:rPr>
        <w:t>年（请分别列出：）；保修期自甲方在货物质量验收单上签字之日起计算，保修费用包含在合同总价中。</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3.3、 免费保修期：</w:t>
      </w:r>
      <w:r>
        <w:rPr>
          <w:rFonts w:hint="eastAsia" w:ascii="宋体" w:hAnsi="宋体" w:eastAsia="宋体" w:cs="宋体"/>
          <w:kern w:val="0"/>
          <w:szCs w:val="21"/>
          <w:u w:val="single"/>
        </w:rPr>
        <w:t>　　　　　　　　　</w:t>
      </w:r>
      <w:r>
        <w:rPr>
          <w:rFonts w:hint="eastAsia" w:ascii="宋体" w:hAnsi="宋体" w:eastAsia="宋体" w:cs="宋体"/>
          <w:kern w:val="0"/>
          <w:szCs w:val="21"/>
        </w:rPr>
        <w:t>，保修期内，乙方负责对其提供的货物整机进行维修和系统维护，不再收取任何费用。</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3.4、 货物故障报修的响应时间为：</w:t>
      </w:r>
      <w:r>
        <w:rPr>
          <w:rFonts w:hint="eastAsia" w:ascii="宋体" w:hAnsi="宋体" w:eastAsia="宋体" w:cs="宋体"/>
          <w:kern w:val="0"/>
          <w:szCs w:val="21"/>
          <w:u w:val="single"/>
        </w:rPr>
        <w:t>　　　　　</w:t>
      </w:r>
      <w:r>
        <w:rPr>
          <w:rFonts w:hint="eastAsia" w:ascii="宋体" w:hAnsi="宋体" w:eastAsia="宋体" w:cs="宋体"/>
          <w:kern w:val="0"/>
          <w:szCs w:val="21"/>
        </w:rPr>
        <w:t>小时。</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3.5、若货物故障在检修小时后仍无法排除，乙方应在48小时内免费提供不低于故障货物规格型号档次的备用货物供甲方使用，直至故障货物修复。</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3.6、 所有货物保修服务方式均为乙方上门保修，即由乙方派人到货物使用现场维修，由此产生的一切费用均由乙方承担。</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3.7、 保修期以后的维修维护由双方协商再定。</w:t>
      </w:r>
    </w:p>
    <w:p>
      <w:pPr>
        <w:widowControl/>
        <w:spacing w:line="500" w:lineRule="exact"/>
        <w:ind w:firstLine="420" w:firstLineChars="200"/>
        <w:jc w:val="left"/>
        <w:rPr>
          <w:rFonts w:ascii="宋体" w:hAnsi="宋体" w:eastAsia="宋体" w:cs="宋体"/>
          <w:b/>
          <w:kern w:val="0"/>
          <w:szCs w:val="21"/>
        </w:rPr>
      </w:pPr>
      <w:r>
        <w:rPr>
          <w:rFonts w:hint="eastAsia" w:ascii="宋体" w:hAnsi="宋体" w:eastAsia="宋体" w:cs="宋体"/>
          <w:b/>
          <w:kern w:val="0"/>
          <w:szCs w:val="21"/>
        </w:rPr>
        <w:t>第九条   履约保证金</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本项目不适用</w:t>
      </w:r>
    </w:p>
    <w:p>
      <w:pPr>
        <w:widowControl/>
        <w:spacing w:line="500" w:lineRule="exact"/>
        <w:ind w:firstLine="420" w:firstLineChars="200"/>
        <w:jc w:val="left"/>
        <w:rPr>
          <w:rFonts w:ascii="宋体" w:hAnsi="宋体" w:eastAsia="宋体" w:cs="宋体"/>
          <w:b/>
          <w:kern w:val="0"/>
          <w:szCs w:val="21"/>
        </w:rPr>
      </w:pPr>
      <w:r>
        <w:rPr>
          <w:rFonts w:hint="eastAsia" w:ascii="宋体" w:hAnsi="宋体" w:eastAsia="宋体" w:cs="宋体"/>
          <w:b/>
          <w:kern w:val="0"/>
          <w:szCs w:val="21"/>
        </w:rPr>
        <w:t>第十条   货款支付</w:t>
      </w:r>
    </w:p>
    <w:p>
      <w:pPr>
        <w:widowControl/>
        <w:spacing w:line="500" w:lineRule="exact"/>
        <w:ind w:firstLine="420" w:firstLineChars="200"/>
        <w:jc w:val="left"/>
        <w:rPr>
          <w:rFonts w:ascii="宋体" w:hAnsi="宋体" w:eastAsia="宋体" w:cs="宋体"/>
          <w:kern w:val="0"/>
          <w:szCs w:val="21"/>
          <w:u w:val="single"/>
        </w:rPr>
      </w:pPr>
      <w:r>
        <w:rPr>
          <w:rFonts w:hint="eastAsia" w:ascii="宋体" w:hAnsi="宋体" w:eastAsia="宋体" w:cs="宋体"/>
          <w:kern w:val="0"/>
          <w:szCs w:val="21"/>
        </w:rPr>
        <w:t>1、付款方式（方式）：</w:t>
      </w:r>
      <w:r>
        <w:rPr>
          <w:rFonts w:hint="eastAsia" w:ascii="宋体" w:hAnsi="宋体" w:eastAsia="宋体" w:cs="宋体"/>
          <w:kern w:val="0"/>
          <w:szCs w:val="21"/>
          <w:u w:val="single"/>
        </w:rPr>
        <w:t>　　　　　　</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本合同项下所有款项均以人民币支付。</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2、如本合同项下的采购资金系甲方自行支付，乙方向甲方开具发票，甲方在签署验收单后按付款方式约定付款。如合同项下的采购资金系财政拨款，则出具经甲方盖章确认的发票复印件、经甲方签署的验收单、合同副本等材料，按付款方式约定申请拨付款项。</w:t>
      </w:r>
    </w:p>
    <w:p>
      <w:pPr>
        <w:widowControl/>
        <w:spacing w:line="500" w:lineRule="exact"/>
        <w:ind w:firstLine="420" w:firstLineChars="200"/>
        <w:jc w:val="left"/>
        <w:rPr>
          <w:rFonts w:ascii="宋体" w:hAnsi="宋体" w:eastAsia="宋体" w:cs="宋体"/>
          <w:b/>
          <w:kern w:val="0"/>
          <w:szCs w:val="21"/>
        </w:rPr>
      </w:pPr>
      <w:r>
        <w:rPr>
          <w:rFonts w:hint="eastAsia" w:ascii="宋体" w:hAnsi="宋体" w:eastAsia="宋体" w:cs="宋体"/>
          <w:b/>
          <w:kern w:val="0"/>
          <w:szCs w:val="21"/>
        </w:rPr>
        <w:t>第十一条 违约责任</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1、甲方无正当理由拒绝接收货物（服务）、拒付货物（服务）款的，由甲方向乙方偿付合同总价的5%违约金。</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2、甲方未按合同规定的期限向乙方支付货款的，每逾期1天甲方向乙方偿付</w:t>
      </w:r>
      <w:r>
        <w:rPr>
          <w:rFonts w:hint="eastAsia" w:ascii="宋体" w:hAnsi="宋体" w:eastAsia="宋体" w:cs="宋体"/>
          <w:kern w:val="0"/>
          <w:szCs w:val="21"/>
          <w:u w:val="single"/>
        </w:rPr>
        <w:t>　　　　</w:t>
      </w:r>
      <w:r>
        <w:rPr>
          <w:rFonts w:hint="eastAsia" w:ascii="宋体" w:hAnsi="宋体" w:eastAsia="宋体" w:cs="宋体"/>
          <w:kern w:val="0"/>
          <w:szCs w:val="21"/>
        </w:rPr>
        <w:t>滞纳金，但累计滞纳金总额不超过欠款总额的5% 。</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3、如乙方不能按约定交付货物（服务），或交付的货物（服务）质量、品种、型号、规格等不符合合同规定或有关标准，甲方有权拒收，并扣除其履约保证金；同时乙方应向甲方支付合同总价５％的违约金。4、 乙方逾期交付货物的，每逾期1天，乙方向甲方偿付</w:t>
      </w:r>
      <w:r>
        <w:rPr>
          <w:rFonts w:hint="eastAsia" w:ascii="宋体" w:hAnsi="宋体" w:eastAsia="宋体" w:cs="宋体"/>
          <w:kern w:val="0"/>
          <w:szCs w:val="21"/>
          <w:u w:val="single"/>
        </w:rPr>
        <w:t>　　　　</w:t>
      </w:r>
      <w:r>
        <w:rPr>
          <w:rFonts w:hint="eastAsia" w:ascii="宋体" w:hAnsi="宋体" w:eastAsia="宋体" w:cs="宋体"/>
          <w:kern w:val="0"/>
          <w:szCs w:val="21"/>
        </w:rPr>
        <w:t>滞纳金。如乙方逾期交货达</w:t>
      </w:r>
      <w:r>
        <w:rPr>
          <w:rFonts w:hint="eastAsia" w:ascii="宋体" w:hAnsi="宋体" w:eastAsia="宋体" w:cs="宋体"/>
          <w:kern w:val="0"/>
          <w:szCs w:val="21"/>
          <w:u w:val="single"/>
        </w:rPr>
        <w:t>　　　　</w:t>
      </w:r>
      <w:r>
        <w:rPr>
          <w:rFonts w:hint="eastAsia" w:ascii="宋体" w:hAnsi="宋体" w:eastAsia="宋体" w:cs="宋体"/>
          <w:kern w:val="0"/>
          <w:szCs w:val="21"/>
        </w:rPr>
        <w:t>天，甲方有权解除合同，解除合同的通知自到达乙方时生效。</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5、在乙方承诺的或国家规定的质保期内（取两者中最长的期限），如经乙方两次维修或更换，货物仍不能达到合同约定的质量标准，甲方有权退货，乙方应退回全部货款，并扣除乙方质量保证金，同时，乙方还须赔偿甲方因此遭受的损失。</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6、乙方违反本合同有关约定或未按“服务承诺”提供伴随服务/售后服务的，每次扣除乙方违约金</w:t>
      </w:r>
      <w:r>
        <w:rPr>
          <w:rFonts w:hint="eastAsia" w:ascii="宋体" w:hAnsi="宋体" w:eastAsia="宋体" w:cs="宋体"/>
          <w:kern w:val="0"/>
          <w:szCs w:val="21"/>
          <w:u w:val="single"/>
        </w:rPr>
        <w:t>　　　　　</w:t>
      </w:r>
      <w:r>
        <w:rPr>
          <w:rFonts w:hint="eastAsia" w:ascii="宋体" w:hAnsi="宋体" w:eastAsia="宋体" w:cs="宋体"/>
          <w:kern w:val="0"/>
          <w:szCs w:val="21"/>
        </w:rPr>
        <w:t>元（合同另有约定的从其约定）。</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7、乙方在承担上述一项或多项违约责任后，仍应继续履行合同规定的义务（甲方解除合同的除外）。甲方未及时追究乙方的任何一项违约责任并不表明甲方放弃追究乙方该项或其他违约责任。</w:t>
      </w:r>
    </w:p>
    <w:p>
      <w:pPr>
        <w:widowControl/>
        <w:spacing w:line="500" w:lineRule="exact"/>
        <w:ind w:firstLine="420" w:firstLineChars="200"/>
        <w:jc w:val="left"/>
        <w:rPr>
          <w:rFonts w:ascii="宋体" w:hAnsi="宋体" w:eastAsia="宋体" w:cs="宋体"/>
          <w:b/>
          <w:kern w:val="0"/>
          <w:szCs w:val="21"/>
        </w:rPr>
      </w:pPr>
      <w:r>
        <w:rPr>
          <w:rFonts w:hint="eastAsia" w:ascii="宋体" w:hAnsi="宋体" w:eastAsia="宋体" w:cs="宋体"/>
          <w:b/>
          <w:kern w:val="0"/>
          <w:szCs w:val="21"/>
        </w:rPr>
        <w:t>第十二条 合同的变更补充，终止及转让　　</w:t>
      </w:r>
      <w:r>
        <w:rPr>
          <w:rFonts w:hint="eastAsia" w:ascii="宋体" w:hAnsi="宋体" w:eastAsia="宋体" w:cs="宋体"/>
          <w:kern w:val="0"/>
          <w:szCs w:val="21"/>
        </w:rPr>
        <w:t>除《政府采购法》第49条、第50条第二款规定的情形外，本合同一经签订，甲乙双方不得擅自变更、中止或终止合同。合同的变更和补充追加需经通许县政府采购监督管理办公室审核备案后生效。乙方不得擅自部分或全部转让其应履行的合同义务。</w:t>
      </w:r>
    </w:p>
    <w:p>
      <w:pPr>
        <w:widowControl/>
        <w:spacing w:line="500" w:lineRule="exact"/>
        <w:ind w:firstLine="420" w:firstLineChars="200"/>
        <w:jc w:val="left"/>
        <w:rPr>
          <w:rFonts w:ascii="宋体" w:hAnsi="宋体" w:eastAsia="宋体" w:cs="宋体"/>
          <w:b/>
          <w:kern w:val="0"/>
          <w:szCs w:val="21"/>
        </w:rPr>
      </w:pPr>
      <w:r>
        <w:rPr>
          <w:rFonts w:hint="eastAsia" w:ascii="宋体" w:hAnsi="宋体" w:eastAsia="宋体" w:cs="宋体"/>
          <w:b/>
          <w:kern w:val="0"/>
          <w:szCs w:val="21"/>
        </w:rPr>
        <w:t>第十三条 　不可抗力　　</w:t>
      </w:r>
    </w:p>
    <w:p>
      <w:pPr>
        <w:widowControl/>
        <w:spacing w:line="500" w:lineRule="exact"/>
        <w:ind w:firstLine="420" w:firstLineChars="200"/>
        <w:jc w:val="left"/>
        <w:rPr>
          <w:rFonts w:ascii="宋体" w:hAnsi="宋体" w:eastAsia="宋体" w:cs="宋体"/>
          <w:b/>
          <w:kern w:val="0"/>
          <w:szCs w:val="21"/>
        </w:rPr>
      </w:pPr>
      <w:r>
        <w:rPr>
          <w:rFonts w:hint="eastAsia" w:ascii="宋体" w:hAnsi="宋体" w:eastAsia="宋体" w:cs="宋体"/>
          <w:b/>
          <w:kern w:val="0"/>
          <w:szCs w:val="21"/>
        </w:rPr>
        <w:t>1、</w:t>
      </w:r>
      <w:r>
        <w:rPr>
          <w:rFonts w:hint="eastAsia" w:ascii="宋体" w:hAnsi="宋体" w:eastAsia="宋体" w:cs="宋体"/>
          <w:kern w:val="0"/>
          <w:szCs w:val="21"/>
        </w:rPr>
        <w:t>因不可抗力造成违约的，遭受不可抗力一方应及时向对方通报不能履行或不能完全履行的理由，并在随后取得有关主管机关证明后的15日内向另一方提供不可抗力发生以及持续期间的充分证据，根据情况可部分或全部免于承担违约责任。</w:t>
      </w:r>
    </w:p>
    <w:p>
      <w:pPr>
        <w:widowControl/>
        <w:spacing w:line="500" w:lineRule="exact"/>
        <w:ind w:firstLine="420" w:firstLineChars="200"/>
        <w:rPr>
          <w:rFonts w:ascii="宋体" w:hAnsi="宋体" w:eastAsia="宋体" w:cs="宋体"/>
          <w:kern w:val="0"/>
          <w:szCs w:val="21"/>
        </w:rPr>
      </w:pPr>
      <w:r>
        <w:rPr>
          <w:rFonts w:hint="eastAsia" w:ascii="宋体" w:hAnsi="宋体" w:eastAsia="宋体" w:cs="宋体"/>
          <w:kern w:val="0"/>
          <w:szCs w:val="21"/>
        </w:rPr>
        <w:t>2、本合同中的不可抗力指不能预见、不能避免并不能克服的客观情况。包括但不限于：自然灾害如地震、台风、洪水、火灾；政府行为、法律规定或其适用的其他任何无法预见、避免或者控制的事件（市场价格波动风险不在此列）。</w:t>
      </w:r>
    </w:p>
    <w:p>
      <w:pPr>
        <w:widowControl/>
        <w:spacing w:line="500" w:lineRule="exact"/>
        <w:ind w:firstLine="420" w:firstLineChars="200"/>
        <w:jc w:val="left"/>
        <w:rPr>
          <w:rFonts w:ascii="宋体" w:hAnsi="宋体" w:eastAsia="宋体" w:cs="宋体"/>
          <w:b/>
          <w:kern w:val="0"/>
          <w:szCs w:val="21"/>
        </w:rPr>
      </w:pPr>
      <w:r>
        <w:rPr>
          <w:rFonts w:hint="eastAsia" w:ascii="宋体" w:hAnsi="宋体" w:eastAsia="宋体" w:cs="宋体"/>
          <w:b/>
          <w:kern w:val="0"/>
          <w:szCs w:val="21"/>
        </w:rPr>
        <w:t>第十四条  争议的解决</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1、因质量问题发生争议的，应当邀请国家认可的质量检测机构进行鉴定。经鉴定符合标准的，鉴定费由甲方承担；不符合质量标准的，鉴定费由乙方承担。</w:t>
      </w:r>
    </w:p>
    <w:p>
      <w:pPr>
        <w:widowControl/>
        <w:spacing w:line="500" w:lineRule="exact"/>
        <w:ind w:firstLine="420" w:firstLineChars="200"/>
        <w:jc w:val="left"/>
        <w:rPr>
          <w:rFonts w:ascii="宋体" w:hAnsi="宋体" w:eastAsia="宋体" w:cs="宋体"/>
          <w:kern w:val="0"/>
          <w:szCs w:val="21"/>
        </w:rPr>
      </w:pPr>
      <w:r>
        <w:rPr>
          <w:rFonts w:hint="eastAsia" w:ascii="宋体" w:hAnsi="宋体" w:eastAsia="宋体" w:cs="宋体"/>
          <w:kern w:val="0"/>
          <w:szCs w:val="21"/>
        </w:rPr>
        <w:t>2、因履行本合同引起的或与本合同有关的争议，甲、乙双方应首先通过友好协商解决，如果协商不能解决争议，任何一方均可以向甲方所在地有管辖权的人民法院提起诉讼。</w:t>
      </w:r>
    </w:p>
    <w:p>
      <w:pPr>
        <w:widowControl/>
        <w:spacing w:line="500" w:lineRule="exact"/>
        <w:ind w:firstLine="420" w:firstLineChars="200"/>
        <w:jc w:val="left"/>
        <w:rPr>
          <w:rFonts w:ascii="宋体" w:hAnsi="宋体" w:eastAsia="宋体" w:cs="宋体"/>
          <w:b/>
          <w:kern w:val="0"/>
          <w:szCs w:val="21"/>
        </w:rPr>
      </w:pPr>
      <w:r>
        <w:rPr>
          <w:rFonts w:hint="eastAsia" w:ascii="宋体" w:hAnsi="宋体" w:eastAsia="宋体" w:cs="宋体"/>
          <w:b/>
          <w:kern w:val="0"/>
          <w:szCs w:val="21"/>
        </w:rPr>
        <w:t>第十五条   合同生效及其他</w:t>
      </w:r>
    </w:p>
    <w:p>
      <w:pPr>
        <w:widowControl/>
        <w:spacing w:line="500" w:lineRule="exact"/>
        <w:ind w:firstLine="420" w:firstLineChars="200"/>
        <w:rPr>
          <w:rFonts w:ascii="宋体" w:hAnsi="宋体" w:eastAsia="宋体" w:cs="宋体"/>
          <w:b/>
          <w:kern w:val="0"/>
          <w:szCs w:val="21"/>
        </w:rPr>
      </w:pPr>
      <w:r>
        <w:rPr>
          <w:rFonts w:hint="eastAsia" w:ascii="宋体" w:hAnsi="宋体" w:eastAsia="宋体" w:cs="宋体"/>
          <w:kern w:val="0"/>
          <w:szCs w:val="21"/>
        </w:rPr>
        <w:t>1、本合同未尽事宜，双方另行补充。</w:t>
      </w:r>
    </w:p>
    <w:p>
      <w:pPr>
        <w:widowControl/>
        <w:spacing w:line="500" w:lineRule="exact"/>
        <w:ind w:firstLine="420" w:firstLineChars="200"/>
        <w:rPr>
          <w:rFonts w:ascii="宋体" w:hAnsi="宋体" w:eastAsia="宋体" w:cs="宋体"/>
          <w:b/>
          <w:bCs/>
          <w:kern w:val="0"/>
          <w:szCs w:val="21"/>
        </w:rPr>
      </w:pPr>
      <w:r>
        <w:rPr>
          <w:rFonts w:hint="eastAsia" w:ascii="宋体" w:hAnsi="宋体" w:eastAsia="宋体" w:cs="宋体"/>
          <w:kern w:val="0"/>
          <w:szCs w:val="21"/>
        </w:rPr>
        <w:t>2、</w:t>
      </w:r>
      <w:r>
        <w:rPr>
          <w:rFonts w:hint="eastAsia" w:ascii="宋体" w:hAnsi="宋体" w:eastAsia="宋体" w:cs="宋体"/>
          <w:bCs/>
          <w:kern w:val="0"/>
          <w:szCs w:val="21"/>
        </w:rPr>
        <w:t>本合同一式陆份，甲、乙双方授权代表签字并盖单位公章后生效。甲方、乙方各执贰份，通许县政府采购监督管理办公室贰份，均具有同等法律效力。</w:t>
      </w:r>
    </w:p>
    <w:p>
      <w:pPr>
        <w:widowControl/>
        <w:spacing w:line="500" w:lineRule="exact"/>
        <w:ind w:firstLine="210" w:firstLineChars="100"/>
        <w:rPr>
          <w:rFonts w:ascii="宋体" w:hAnsi="宋体" w:eastAsia="宋体" w:cs="宋体"/>
          <w:kern w:val="0"/>
          <w:szCs w:val="21"/>
        </w:rPr>
      </w:pPr>
      <w:r>
        <w:rPr>
          <w:rFonts w:hint="eastAsia" w:ascii="宋体" w:hAnsi="宋体" w:eastAsia="宋体" w:cs="宋体"/>
          <w:kern w:val="0"/>
          <w:szCs w:val="21"/>
        </w:rPr>
        <w:t xml:space="preserve">  甲    方：                 　乙    方：</w:t>
      </w:r>
    </w:p>
    <w:p>
      <w:pPr>
        <w:widowControl/>
        <w:spacing w:line="500" w:lineRule="exact"/>
        <w:rPr>
          <w:rFonts w:ascii="宋体" w:hAnsi="宋体" w:eastAsia="宋体" w:cs="宋体"/>
          <w:kern w:val="0"/>
          <w:szCs w:val="21"/>
        </w:rPr>
      </w:pPr>
      <w:r>
        <w:rPr>
          <w:rFonts w:hint="eastAsia" w:ascii="宋体" w:hAnsi="宋体" w:eastAsia="宋体" w:cs="宋体"/>
          <w:kern w:val="0"/>
          <w:szCs w:val="21"/>
        </w:rPr>
        <w:t xml:space="preserve">    单位地址：                   单位地址：</w:t>
      </w:r>
    </w:p>
    <w:p>
      <w:pPr>
        <w:widowControl/>
        <w:spacing w:line="500" w:lineRule="exact"/>
        <w:rPr>
          <w:rFonts w:ascii="宋体" w:hAnsi="宋体" w:eastAsia="宋体" w:cs="宋体"/>
          <w:kern w:val="0"/>
          <w:szCs w:val="21"/>
        </w:rPr>
      </w:pPr>
      <w:r>
        <w:rPr>
          <w:rFonts w:hint="eastAsia" w:ascii="宋体" w:hAnsi="宋体" w:eastAsia="宋体" w:cs="宋体"/>
          <w:kern w:val="0"/>
          <w:szCs w:val="21"/>
        </w:rPr>
        <w:t xml:space="preserve">    法定代表人：                 法定代表人：</w:t>
      </w:r>
    </w:p>
    <w:p>
      <w:pPr>
        <w:widowControl/>
        <w:spacing w:line="500" w:lineRule="exact"/>
        <w:rPr>
          <w:rFonts w:ascii="宋体" w:hAnsi="宋体" w:eastAsia="宋体" w:cs="宋体"/>
          <w:kern w:val="0"/>
          <w:szCs w:val="21"/>
        </w:rPr>
      </w:pPr>
      <w:r>
        <w:rPr>
          <w:rFonts w:hint="eastAsia" w:ascii="宋体" w:hAnsi="宋体" w:eastAsia="宋体" w:cs="宋体"/>
          <w:kern w:val="0"/>
          <w:szCs w:val="21"/>
        </w:rPr>
        <w:t xml:space="preserve">    委托代理人：                 委托代理人：</w:t>
      </w:r>
    </w:p>
    <w:p>
      <w:pPr>
        <w:widowControl/>
        <w:spacing w:line="500" w:lineRule="exact"/>
        <w:rPr>
          <w:rFonts w:ascii="宋体" w:hAnsi="宋体" w:eastAsia="宋体" w:cs="宋体"/>
          <w:kern w:val="0"/>
          <w:szCs w:val="21"/>
        </w:rPr>
      </w:pPr>
      <w:r>
        <w:rPr>
          <w:rFonts w:hint="eastAsia" w:ascii="宋体" w:hAnsi="宋体" w:eastAsia="宋体" w:cs="宋体"/>
          <w:kern w:val="0"/>
          <w:szCs w:val="21"/>
        </w:rPr>
        <w:t xml:space="preserve">    电    话：                   电    话：</w:t>
      </w:r>
    </w:p>
    <w:p>
      <w:pPr>
        <w:widowControl/>
        <w:spacing w:line="500" w:lineRule="exact"/>
        <w:ind w:firstLine="420" w:firstLineChars="200"/>
        <w:rPr>
          <w:color w:val="000000"/>
          <w:szCs w:val="21"/>
        </w:rPr>
      </w:pPr>
      <w:r>
        <w:rPr>
          <w:rFonts w:hint="eastAsia" w:ascii="Calibri" w:hAnsi="Calibri" w:eastAsia="宋体" w:cs="宋体"/>
          <w:kern w:val="0"/>
          <w:szCs w:val="21"/>
        </w:rPr>
        <w:t>年月日年月日</w:t>
      </w:r>
    </w:p>
    <w:p>
      <w:pPr>
        <w:rPr>
          <w:rFonts w:ascii="宋体" w:hAnsi="宋体" w:eastAsia="宋体" w:cs="宋体"/>
          <w:spacing w:val="10"/>
          <w:szCs w:val="21"/>
        </w:rPr>
        <w:sectPr>
          <w:pgSz w:w="11915" w:h="16840"/>
          <w:pgMar w:top="1135" w:right="1191" w:bottom="1021" w:left="1191" w:header="737" w:footer="680" w:gutter="0"/>
          <w:pgNumType w:start="1"/>
          <w:cols w:space="425" w:num="1"/>
          <w:docGrid w:type="linesAndChars" w:linePitch="306" w:charSpace="-2"/>
        </w:sectPr>
      </w:pPr>
    </w:p>
    <w:p>
      <w:pPr>
        <w:pStyle w:val="2"/>
        <w:spacing w:line="520" w:lineRule="exact"/>
        <w:ind w:left="0" w:firstLine="2397" w:firstLineChars="796"/>
        <w:rPr>
          <w:rFonts w:hint="default"/>
          <w:bCs/>
          <w:szCs w:val="21"/>
        </w:rPr>
      </w:pPr>
      <w:bookmarkStart w:id="105" w:name="_Toc87235886"/>
      <w:bookmarkEnd w:id="105"/>
      <w:bookmarkStart w:id="106" w:name="_Toc166429299"/>
      <w:bookmarkEnd w:id="106"/>
      <w:bookmarkStart w:id="107" w:name="_Toc144202297"/>
      <w:bookmarkEnd w:id="107"/>
      <w:bookmarkStart w:id="108" w:name="_Toc433117088"/>
      <w:bookmarkStart w:id="109" w:name="_Toc25472"/>
      <w:bookmarkStart w:id="110" w:name="_Toc31648114"/>
      <w:r>
        <w:rPr>
          <w:rFonts w:ascii="宋体" w:eastAsia="宋体" w:cs="宋体"/>
          <w:b/>
          <w:sz w:val="30"/>
          <w:szCs w:val="30"/>
        </w:rPr>
        <w:t>第五章：</w:t>
      </w:r>
      <w:bookmarkEnd w:id="108"/>
      <w:bookmarkEnd w:id="109"/>
      <w:r>
        <w:rPr>
          <w:rFonts w:ascii="宋体" w:eastAsia="宋体" w:cs="宋体"/>
          <w:b/>
          <w:sz w:val="30"/>
          <w:szCs w:val="30"/>
        </w:rPr>
        <w:t>采购内容及要求</w:t>
      </w:r>
      <w:bookmarkEnd w:id="39"/>
      <w:bookmarkEnd w:id="40"/>
      <w:bookmarkEnd w:id="41"/>
      <w:bookmarkEnd w:id="42"/>
      <w:bookmarkEnd w:id="43"/>
      <w:bookmarkEnd w:id="44"/>
      <w:bookmarkEnd w:id="45"/>
      <w:bookmarkEnd w:id="110"/>
      <w:bookmarkStart w:id="111" w:name="_Toc433117089"/>
    </w:p>
    <w:p>
      <w:pPr>
        <w:rPr>
          <w:bCs/>
          <w:szCs w:val="21"/>
        </w:rPr>
      </w:pPr>
    </w:p>
    <w:p>
      <w:pPr>
        <w:rPr>
          <w:rFonts w:ascii="宋体" w:hAnsi="宋体" w:cs="宋体"/>
          <w:b/>
          <w:bCs/>
          <w:kern w:val="0"/>
          <w:sz w:val="30"/>
          <w:szCs w:val="30"/>
        </w:rPr>
      </w:pPr>
      <w:r>
        <w:rPr>
          <w:rFonts w:hint="eastAsia" w:ascii="宋体" w:hAnsi="宋体" w:cs="宋体"/>
          <w:b/>
          <w:bCs/>
          <w:kern w:val="0"/>
          <w:sz w:val="30"/>
          <w:szCs w:val="30"/>
        </w:rPr>
        <w:t xml:space="preserve">一、车辆配置参数要求： </w:t>
      </w:r>
    </w:p>
    <w:p>
      <w:pPr>
        <w:spacing w:line="360" w:lineRule="auto"/>
        <w:ind w:firstLine="480" w:firstLineChars="200"/>
        <w:rPr>
          <w:rFonts w:ascii="宋体" w:hAnsi="宋体"/>
          <w:sz w:val="24"/>
        </w:rPr>
      </w:pPr>
      <w:bookmarkStart w:id="112" w:name="_Toc470804526"/>
      <w:bookmarkStart w:id="113" w:name="_Toc472768228"/>
      <w:r>
        <w:rPr>
          <w:rFonts w:hint="eastAsia" w:ascii="宋体" w:hAnsi="宋体"/>
          <w:sz w:val="24"/>
        </w:rPr>
        <w:t>检测车载车平台采用国内知名底盘作为载车进行改装，车辆造型新颖，乘座舒适，整车性价比高。</w:t>
      </w:r>
    </w:p>
    <w:p>
      <w:pPr>
        <w:spacing w:line="360" w:lineRule="auto"/>
        <w:ind w:firstLine="480" w:firstLineChars="200"/>
        <w:rPr>
          <w:sz w:val="24"/>
        </w:rPr>
      </w:pPr>
      <w:r>
        <w:rPr>
          <w:rFonts w:hint="eastAsia" w:ascii="宋体" w:hAnsi="宋体"/>
          <w:sz w:val="24"/>
        </w:rPr>
        <w:t>该车分为驾驶区和检测区，配置齐全的供电、换气、温度调节等设施，搭载多种快检仪器，</w:t>
      </w:r>
      <w:r>
        <w:rPr>
          <w:rFonts w:hint="eastAsia"/>
          <w:sz w:val="24"/>
        </w:rPr>
        <w:t>满足现场检测需要，灵活、快捷、实用、有效</w:t>
      </w:r>
      <w:r>
        <w:rPr>
          <w:sz w:val="24"/>
        </w:rPr>
        <w:t>。</w:t>
      </w:r>
    </w:p>
    <w:p>
      <w:pPr>
        <w:spacing w:line="360" w:lineRule="auto"/>
        <w:outlineLvl w:val="0"/>
        <w:rPr>
          <w:rFonts w:ascii="宋体" w:hAnsi="宋体"/>
          <w:b/>
          <w:color w:val="000000"/>
          <w:sz w:val="24"/>
        </w:rPr>
      </w:pPr>
      <w:r>
        <w:rPr>
          <w:rFonts w:hint="eastAsia" w:ascii="宋体" w:hAnsi="宋体"/>
          <w:b/>
          <w:color w:val="000000"/>
          <w:sz w:val="24"/>
        </w:rPr>
        <w:t>A、车辆参数：</w:t>
      </w:r>
      <w:bookmarkEnd w:id="112"/>
      <w:bookmarkEnd w:id="113"/>
    </w:p>
    <w:p>
      <w:pPr>
        <w:spacing w:line="360" w:lineRule="auto"/>
        <w:outlineLvl w:val="0"/>
        <w:rPr>
          <w:rFonts w:ascii="宋体" w:hAnsi="宋体"/>
          <w:b/>
          <w:color w:val="000000"/>
          <w:sz w:val="24"/>
        </w:rPr>
      </w:pPr>
      <w:r>
        <w:rPr>
          <w:rFonts w:hint="eastAsia" w:ascii="微软雅黑" w:hAnsi="微软雅黑" w:eastAsia="微软雅黑"/>
          <w:szCs w:val="21"/>
        </w:rPr>
        <w:t>★</w:t>
      </w:r>
      <w:r>
        <w:rPr>
          <w:rFonts w:ascii="宋体" w:hAnsi="宋体"/>
          <w:b/>
          <w:sz w:val="24"/>
        </w:rPr>
        <w:t>1、</w:t>
      </w:r>
      <w:r>
        <w:rPr>
          <w:rFonts w:hint="eastAsia" w:ascii="宋体" w:hAnsi="宋体"/>
          <w:sz w:val="24"/>
        </w:rPr>
        <w:t>外型尺寸（长×宽×高）（</w:t>
      </w:r>
      <w:r>
        <w:rPr>
          <w:rFonts w:ascii="宋体" w:hAnsi="宋体"/>
          <w:sz w:val="24"/>
        </w:rPr>
        <w:t>mm</w:t>
      </w:r>
      <w:r>
        <w:rPr>
          <w:rFonts w:hint="eastAsia" w:ascii="宋体" w:hAnsi="宋体"/>
          <w:sz w:val="24"/>
        </w:rPr>
        <w:t>）：长≤5800，宽≥2000，高&gt;2500</w:t>
      </w:r>
    </w:p>
    <w:p>
      <w:pPr>
        <w:spacing w:line="360" w:lineRule="auto"/>
        <w:rPr>
          <w:rFonts w:ascii="宋体" w:hAnsi="宋体"/>
          <w:sz w:val="24"/>
        </w:rPr>
      </w:pPr>
      <w:r>
        <w:rPr>
          <w:rFonts w:hint="eastAsia" w:ascii="宋体" w:hAnsi="宋体"/>
          <w:sz w:val="24"/>
        </w:rPr>
        <w:t>2、最大总质量（</w:t>
      </w:r>
      <w:r>
        <w:rPr>
          <w:rFonts w:ascii="宋体" w:hAnsi="宋体"/>
          <w:sz w:val="24"/>
        </w:rPr>
        <w:t>kg</w:t>
      </w:r>
      <w:r>
        <w:rPr>
          <w:rFonts w:hint="eastAsia" w:ascii="宋体" w:hAnsi="宋体"/>
          <w:sz w:val="24"/>
        </w:rPr>
        <w:t>）：≥3700</w:t>
      </w:r>
    </w:p>
    <w:p>
      <w:pPr>
        <w:spacing w:line="360" w:lineRule="auto"/>
        <w:rPr>
          <w:rFonts w:ascii="宋体" w:hAnsi="宋体"/>
          <w:sz w:val="24"/>
        </w:rPr>
      </w:pPr>
      <w:r>
        <w:rPr>
          <w:rFonts w:hint="eastAsia" w:ascii="宋体" w:hAnsi="宋体"/>
          <w:sz w:val="24"/>
        </w:rPr>
        <w:t>3、轴距（</w:t>
      </w:r>
      <w:r>
        <w:rPr>
          <w:rFonts w:ascii="宋体" w:hAnsi="宋体"/>
          <w:sz w:val="24"/>
        </w:rPr>
        <w:t>mm</w:t>
      </w:r>
      <w:r>
        <w:rPr>
          <w:rFonts w:hint="eastAsia" w:ascii="宋体" w:hAnsi="宋体"/>
          <w:sz w:val="24"/>
        </w:rPr>
        <w:t>）：≥3700</w:t>
      </w:r>
    </w:p>
    <w:p>
      <w:pPr>
        <w:spacing w:line="360" w:lineRule="auto"/>
        <w:rPr>
          <w:rFonts w:ascii="宋体" w:hAnsi="宋体"/>
          <w:sz w:val="24"/>
        </w:rPr>
      </w:pPr>
      <w:r>
        <w:rPr>
          <w:rFonts w:hint="eastAsia" w:ascii="宋体" w:hAnsi="宋体"/>
          <w:sz w:val="24"/>
        </w:rPr>
        <w:t>4、轴数：</w:t>
      </w:r>
      <w:r>
        <w:rPr>
          <w:rFonts w:ascii="宋体" w:hAnsi="宋体"/>
          <w:sz w:val="24"/>
        </w:rPr>
        <w:t xml:space="preserve">2 </w:t>
      </w:r>
    </w:p>
    <w:p>
      <w:pPr>
        <w:spacing w:line="360" w:lineRule="auto"/>
        <w:rPr>
          <w:rFonts w:ascii="宋体" w:hAnsi="宋体"/>
          <w:sz w:val="24"/>
        </w:rPr>
      </w:pPr>
      <w:r>
        <w:rPr>
          <w:rFonts w:hint="eastAsia" w:ascii="宋体" w:hAnsi="宋体"/>
          <w:sz w:val="24"/>
        </w:rPr>
        <w:t>5、接近角（度）：≥20</w:t>
      </w:r>
    </w:p>
    <w:p>
      <w:pPr>
        <w:spacing w:line="360" w:lineRule="auto"/>
        <w:rPr>
          <w:rFonts w:ascii="宋体" w:hAnsi="宋体"/>
          <w:sz w:val="24"/>
        </w:rPr>
      </w:pPr>
      <w:r>
        <w:rPr>
          <w:rFonts w:hint="eastAsia" w:ascii="宋体" w:hAnsi="宋体"/>
          <w:sz w:val="24"/>
        </w:rPr>
        <w:t>6、</w:t>
      </w:r>
      <w:r>
        <w:rPr>
          <w:rFonts w:ascii="宋体" w:hAnsi="宋体"/>
          <w:sz w:val="24"/>
        </w:rPr>
        <w:t>/</w:t>
      </w:r>
      <w:r>
        <w:rPr>
          <w:rFonts w:hint="eastAsia" w:ascii="宋体" w:hAnsi="宋体"/>
          <w:sz w:val="24"/>
        </w:rPr>
        <w:t>离去角（度）：≥22</w:t>
      </w:r>
    </w:p>
    <w:p>
      <w:pPr>
        <w:spacing w:line="360" w:lineRule="auto"/>
        <w:rPr>
          <w:rFonts w:ascii="宋体" w:hAnsi="宋体"/>
          <w:sz w:val="24"/>
        </w:rPr>
      </w:pPr>
      <w:r>
        <w:rPr>
          <w:rFonts w:hint="eastAsia" w:ascii="宋体" w:hAnsi="宋体"/>
          <w:sz w:val="24"/>
        </w:rPr>
        <w:t>7、发动机形式：四缸直列、增压中冷、高压共轨柴油机</w:t>
      </w:r>
    </w:p>
    <w:p>
      <w:pPr>
        <w:spacing w:line="360" w:lineRule="auto"/>
        <w:rPr>
          <w:rFonts w:ascii="宋体" w:hAnsi="宋体"/>
          <w:sz w:val="24"/>
        </w:rPr>
      </w:pPr>
      <w:r>
        <w:rPr>
          <w:rFonts w:hint="eastAsia" w:ascii="微软雅黑" w:hAnsi="微软雅黑" w:eastAsia="微软雅黑"/>
          <w:szCs w:val="21"/>
        </w:rPr>
        <w:t>★</w:t>
      </w:r>
      <w:r>
        <w:rPr>
          <w:rFonts w:hint="eastAsia" w:ascii="宋体" w:hAnsi="宋体"/>
          <w:b/>
          <w:sz w:val="24"/>
        </w:rPr>
        <w:t>8、</w:t>
      </w:r>
      <w:r>
        <w:rPr>
          <w:rFonts w:hint="eastAsia" w:ascii="宋体" w:hAnsi="宋体"/>
          <w:sz w:val="24"/>
        </w:rPr>
        <w:t>排量（</w:t>
      </w:r>
      <w:r>
        <w:rPr>
          <w:rFonts w:ascii="宋体" w:hAnsi="宋体"/>
          <w:sz w:val="24"/>
        </w:rPr>
        <w:t>L</w:t>
      </w:r>
      <w:r>
        <w:rPr>
          <w:rFonts w:hint="eastAsia" w:ascii="宋体" w:hAnsi="宋体"/>
          <w:sz w:val="24"/>
        </w:rPr>
        <w:t>）：</w:t>
      </w:r>
      <w:r>
        <w:rPr>
          <w:rFonts w:ascii="宋体" w:hAnsi="宋体"/>
          <w:sz w:val="24"/>
        </w:rPr>
        <w:t>≥</w:t>
      </w:r>
      <w:r>
        <w:rPr>
          <w:rFonts w:hint="eastAsia" w:ascii="宋体" w:hAnsi="宋体"/>
          <w:sz w:val="24"/>
        </w:rPr>
        <w:t>2.0</w:t>
      </w:r>
    </w:p>
    <w:p>
      <w:pPr>
        <w:spacing w:line="360" w:lineRule="auto"/>
        <w:rPr>
          <w:rFonts w:ascii="宋体" w:hAnsi="宋体"/>
          <w:sz w:val="24"/>
        </w:rPr>
      </w:pPr>
      <w:r>
        <w:rPr>
          <w:rFonts w:hint="eastAsia" w:ascii="微软雅黑" w:hAnsi="微软雅黑" w:eastAsia="微软雅黑"/>
          <w:szCs w:val="21"/>
        </w:rPr>
        <w:t>★</w:t>
      </w:r>
      <w:r>
        <w:rPr>
          <w:rFonts w:hint="eastAsia" w:ascii="宋体" w:hAnsi="宋体"/>
          <w:sz w:val="24"/>
        </w:rPr>
        <w:t>9、发动机额定功率</w:t>
      </w:r>
      <w:r>
        <w:rPr>
          <w:rFonts w:ascii="宋体" w:hAnsi="宋体"/>
          <w:sz w:val="24"/>
        </w:rPr>
        <w:t>(kw)</w:t>
      </w:r>
      <w:r>
        <w:rPr>
          <w:rFonts w:hint="eastAsia" w:ascii="宋体" w:hAnsi="宋体"/>
          <w:sz w:val="24"/>
        </w:rPr>
        <w:t>：</w:t>
      </w:r>
      <w:r>
        <w:rPr>
          <w:rFonts w:ascii="宋体" w:hAnsi="宋体"/>
          <w:sz w:val="24"/>
        </w:rPr>
        <w:t>≥1</w:t>
      </w:r>
      <w:r>
        <w:rPr>
          <w:rFonts w:hint="eastAsia" w:ascii="宋体" w:hAnsi="宋体"/>
          <w:sz w:val="24"/>
        </w:rPr>
        <w:t>00</w:t>
      </w:r>
    </w:p>
    <w:p>
      <w:pPr>
        <w:spacing w:line="360" w:lineRule="auto"/>
        <w:rPr>
          <w:rFonts w:ascii="宋体" w:hAnsi="宋体"/>
          <w:sz w:val="24"/>
        </w:rPr>
      </w:pPr>
      <w:r>
        <w:rPr>
          <w:rFonts w:hint="eastAsia" w:ascii="宋体" w:hAnsi="宋体"/>
          <w:sz w:val="24"/>
        </w:rPr>
        <w:t>10、变速箱系统：6档手动</w:t>
      </w:r>
      <w:r>
        <w:rPr>
          <w:rFonts w:ascii="宋体" w:hAnsi="宋体"/>
          <w:sz w:val="24"/>
        </w:rPr>
        <w:t>变速箱</w:t>
      </w:r>
    </w:p>
    <w:p>
      <w:pPr>
        <w:spacing w:line="360" w:lineRule="auto"/>
        <w:rPr>
          <w:rFonts w:ascii="宋体" w:hAnsi="宋体"/>
          <w:sz w:val="24"/>
        </w:rPr>
      </w:pPr>
      <w:r>
        <w:rPr>
          <w:rFonts w:hint="eastAsia" w:ascii="宋体" w:hAnsi="宋体"/>
          <w:sz w:val="24"/>
        </w:rPr>
        <w:t>11最高车速（</w:t>
      </w:r>
      <w:r>
        <w:rPr>
          <w:rFonts w:ascii="宋体" w:hAnsi="宋体"/>
          <w:sz w:val="24"/>
        </w:rPr>
        <w:t>km/h</w:t>
      </w:r>
      <w:r>
        <w:rPr>
          <w:rFonts w:hint="eastAsia" w:ascii="宋体" w:hAnsi="宋体"/>
          <w:sz w:val="24"/>
        </w:rPr>
        <w:t>）：</w:t>
      </w:r>
      <w:r>
        <w:rPr>
          <w:rFonts w:ascii="宋体" w:hAnsi="宋体"/>
          <w:sz w:val="24"/>
        </w:rPr>
        <w:t>≥1</w:t>
      </w:r>
      <w:r>
        <w:rPr>
          <w:rFonts w:hint="eastAsia" w:ascii="宋体" w:hAnsi="宋体"/>
          <w:sz w:val="24"/>
        </w:rPr>
        <w:t>40</w:t>
      </w:r>
    </w:p>
    <w:p>
      <w:pPr>
        <w:spacing w:line="360" w:lineRule="auto"/>
        <w:rPr>
          <w:rFonts w:ascii="宋体" w:hAnsi="宋体"/>
          <w:sz w:val="24"/>
        </w:rPr>
      </w:pPr>
      <w:r>
        <w:rPr>
          <w:rFonts w:hint="eastAsia" w:ascii="宋体" w:hAnsi="宋体"/>
          <w:sz w:val="24"/>
        </w:rPr>
        <w:t>12、轮胎数：4</w:t>
      </w:r>
    </w:p>
    <w:p>
      <w:pPr>
        <w:spacing w:line="360" w:lineRule="auto"/>
        <w:rPr>
          <w:rFonts w:ascii="宋体" w:hAnsi="宋体"/>
          <w:sz w:val="24"/>
        </w:rPr>
      </w:pPr>
      <w:r>
        <w:rPr>
          <w:rFonts w:hint="eastAsia" w:ascii="宋体" w:hAnsi="宋体"/>
          <w:sz w:val="24"/>
        </w:rPr>
        <w:t>13、额定载客（含驾驶员）（人）：</w:t>
      </w:r>
      <w:r>
        <w:rPr>
          <w:rFonts w:ascii="宋体" w:hAnsi="宋体"/>
          <w:sz w:val="24"/>
        </w:rPr>
        <w:t>≥</w:t>
      </w:r>
      <w:r>
        <w:rPr>
          <w:rFonts w:hint="eastAsia" w:ascii="宋体" w:hAnsi="宋体"/>
          <w:sz w:val="24"/>
        </w:rPr>
        <w:t>8</w:t>
      </w:r>
    </w:p>
    <w:p>
      <w:pPr>
        <w:spacing w:line="360" w:lineRule="auto"/>
        <w:rPr>
          <w:rFonts w:ascii="宋体" w:hAnsi="宋体"/>
          <w:sz w:val="24"/>
        </w:rPr>
      </w:pPr>
      <w:r>
        <w:rPr>
          <w:rFonts w:hint="eastAsia" w:ascii="宋体" w:hAnsi="宋体"/>
          <w:sz w:val="24"/>
        </w:rPr>
        <w:t>14、尾气排放标准：</w:t>
      </w:r>
      <w:r>
        <w:rPr>
          <w:rFonts w:ascii="宋体" w:hAnsi="宋体"/>
          <w:sz w:val="24"/>
        </w:rPr>
        <w:t>≥</w:t>
      </w:r>
      <w:r>
        <w:rPr>
          <w:rFonts w:hint="eastAsia" w:ascii="宋体" w:hAnsi="宋体"/>
          <w:sz w:val="24"/>
        </w:rPr>
        <w:t>国V</w:t>
      </w:r>
    </w:p>
    <w:p>
      <w:pPr>
        <w:spacing w:line="360" w:lineRule="auto"/>
        <w:rPr>
          <w:rFonts w:ascii="宋体" w:hAnsi="宋体" w:cs="宋体"/>
          <w:b/>
          <w:sz w:val="24"/>
          <w:szCs w:val="18"/>
        </w:rPr>
      </w:pPr>
      <w:r>
        <w:rPr>
          <w:rFonts w:hint="eastAsia" w:ascii="宋体" w:hAnsi="宋体" w:cs="宋体"/>
          <w:b/>
          <w:sz w:val="24"/>
          <w:szCs w:val="18"/>
        </w:rPr>
        <w:t>15、车身外观图案根据客户要求定制。</w:t>
      </w:r>
    </w:p>
    <w:p>
      <w:pPr>
        <w:spacing w:line="360" w:lineRule="auto"/>
        <w:outlineLvl w:val="0"/>
        <w:rPr>
          <w:rFonts w:ascii="宋体" w:hAnsi="宋体"/>
          <w:b/>
          <w:color w:val="000000"/>
          <w:sz w:val="24"/>
        </w:rPr>
      </w:pPr>
      <w:bookmarkStart w:id="114" w:name="_Toc470804514"/>
      <w:bookmarkStart w:id="115" w:name="_Toc486523106"/>
      <w:r>
        <w:rPr>
          <w:rFonts w:hint="eastAsia" w:ascii="宋体" w:hAnsi="宋体"/>
          <w:b/>
          <w:color w:val="000000"/>
          <w:sz w:val="24"/>
        </w:rPr>
        <w:t>B、布局说明</w:t>
      </w:r>
      <w:bookmarkEnd w:id="114"/>
      <w:bookmarkEnd w:id="115"/>
    </w:p>
    <w:p>
      <w:pPr>
        <w:spacing w:line="360" w:lineRule="auto"/>
        <w:ind w:firstLine="480" w:firstLineChars="200"/>
        <w:rPr>
          <w:rFonts w:ascii="宋体" w:hAnsi="宋体"/>
          <w:color w:val="000000"/>
          <w:sz w:val="24"/>
        </w:rPr>
      </w:pPr>
      <w:bookmarkStart w:id="116" w:name="_Toc470710584"/>
      <w:bookmarkStart w:id="117" w:name="_Toc478485674"/>
      <w:r>
        <w:rPr>
          <w:rFonts w:hint="eastAsia" w:ascii="宋体" w:hAnsi="宋体"/>
          <w:color w:val="000000"/>
          <w:sz w:val="24"/>
        </w:rPr>
        <w:t>根据使用需求合理调配布局，保证操作空间，独立实验。</w:t>
      </w:r>
    </w:p>
    <w:p>
      <w:pPr>
        <w:spacing w:line="360" w:lineRule="auto"/>
        <w:ind w:firstLine="480" w:firstLineChars="200"/>
        <w:rPr>
          <w:rFonts w:ascii="宋体" w:hAnsi="宋体"/>
          <w:color w:val="000000"/>
          <w:sz w:val="24"/>
        </w:rPr>
      </w:pPr>
      <w:r>
        <w:rPr>
          <w:rFonts w:hint="eastAsia" w:ascii="宋体" w:hAnsi="宋体"/>
          <w:color w:val="000000"/>
          <w:sz w:val="24"/>
        </w:rPr>
        <w:t>布局优势</w:t>
      </w:r>
      <w:r>
        <w:rPr>
          <w:rFonts w:ascii="宋体" w:hAnsi="宋体"/>
          <w:color w:val="000000"/>
          <w:sz w:val="24"/>
        </w:rPr>
        <w:t>:</w:t>
      </w:r>
      <w:r>
        <w:rPr>
          <w:rFonts w:hint="eastAsia" w:ascii="宋体" w:hAnsi="宋体"/>
          <w:color w:val="000000"/>
          <w:sz w:val="24"/>
        </w:rPr>
        <w:t>整车合理紧凑布局，功能分区清晰。</w:t>
      </w:r>
    </w:p>
    <w:p>
      <w:pPr>
        <w:spacing w:line="360" w:lineRule="auto"/>
        <w:ind w:firstLine="480" w:firstLineChars="200"/>
        <w:rPr>
          <w:rFonts w:ascii="宋体" w:hAnsi="宋体"/>
          <w:color w:val="000000"/>
          <w:sz w:val="24"/>
        </w:rPr>
      </w:pPr>
      <w:r>
        <w:rPr>
          <w:rFonts w:hint="eastAsia" w:ascii="宋体" w:hAnsi="宋体"/>
          <w:color w:val="000000"/>
          <w:sz w:val="24"/>
        </w:rPr>
        <w:t>功能模块完整：各设备分区布置，操作方便，功能齐全。</w:t>
      </w:r>
    </w:p>
    <w:p>
      <w:pPr>
        <w:spacing w:line="360" w:lineRule="auto"/>
        <w:ind w:firstLine="480" w:firstLineChars="200"/>
        <w:rPr>
          <w:rFonts w:ascii="宋体" w:hAnsi="宋体"/>
          <w:color w:val="000000"/>
          <w:sz w:val="24"/>
        </w:rPr>
      </w:pPr>
      <w:r>
        <w:rPr>
          <w:rFonts w:hint="eastAsia" w:ascii="宋体" w:hAnsi="宋体"/>
          <w:color w:val="000000"/>
          <w:sz w:val="24"/>
        </w:rPr>
        <w:t>驾乘区保留正副司机椅和一排双人椅。加装倒车监视系统，安装倒车监控摄像。</w:t>
      </w:r>
    </w:p>
    <w:p>
      <w:pPr>
        <w:spacing w:line="360" w:lineRule="auto"/>
        <w:ind w:firstLine="480" w:firstLineChars="200"/>
        <w:rPr>
          <w:rFonts w:ascii="宋体" w:hAnsi="宋体"/>
          <w:color w:val="000000"/>
          <w:sz w:val="24"/>
        </w:rPr>
      </w:pPr>
      <w:r>
        <w:rPr>
          <w:rFonts w:hint="eastAsia" w:ascii="宋体" w:hAnsi="宋体"/>
          <w:color w:val="000000"/>
          <w:sz w:val="24"/>
        </w:rPr>
        <w:t>驾乘区与实验区</w:t>
      </w:r>
      <w:r>
        <w:rPr>
          <w:rFonts w:ascii="宋体" w:hAnsi="宋体"/>
          <w:color w:val="000000"/>
          <w:sz w:val="24"/>
        </w:rPr>
        <w:t>设置</w:t>
      </w:r>
      <w:r>
        <w:rPr>
          <w:rFonts w:hint="eastAsia" w:ascii="宋体" w:hAnsi="宋体"/>
          <w:color w:val="000000"/>
          <w:sz w:val="24"/>
        </w:rPr>
        <w:t>隔断</w:t>
      </w:r>
      <w:r>
        <w:rPr>
          <w:rFonts w:ascii="宋体" w:hAnsi="宋体"/>
          <w:color w:val="000000"/>
          <w:sz w:val="24"/>
        </w:rPr>
        <w:t xml:space="preserve">， </w:t>
      </w:r>
      <w:r>
        <w:rPr>
          <w:rFonts w:hint="eastAsia" w:ascii="宋体" w:hAnsi="宋体"/>
          <w:color w:val="000000"/>
          <w:sz w:val="24"/>
        </w:rPr>
        <w:t>隔断开推拉窗。固定有插座开关及温湿度仪。</w:t>
      </w:r>
    </w:p>
    <w:p>
      <w:pPr>
        <w:spacing w:line="360" w:lineRule="auto"/>
        <w:ind w:firstLine="480" w:firstLineChars="200"/>
        <w:rPr>
          <w:rFonts w:ascii="宋体" w:hAnsi="宋体"/>
          <w:color w:val="000000"/>
          <w:sz w:val="24"/>
        </w:rPr>
      </w:pPr>
      <w:r>
        <w:rPr>
          <w:rFonts w:hint="eastAsia" w:ascii="宋体" w:hAnsi="宋体"/>
          <w:color w:val="000000"/>
          <w:sz w:val="24"/>
        </w:rPr>
        <w:t>实验区左侧台柜高730mm左右，长度根据车身确定，柜体坚固耐用，具有阻燃，易清洁，安全可再利用特点，符合实验室安全指标。操作台面材质为具有防酸、防碱材料，抗氧化，且热膨胀系数小，不可燃实心理化板。左侧柜前部为供配电系统，台柜下安装检测设备，并预留便携式应急检测仪器的存放空间，台面可选配专用导轨和锁止装置。后部加装洗手池。</w:t>
      </w:r>
    </w:p>
    <w:p>
      <w:pPr>
        <w:spacing w:line="360" w:lineRule="auto"/>
        <w:ind w:firstLine="480" w:firstLineChars="200"/>
        <w:rPr>
          <w:rFonts w:ascii="宋体" w:hAnsi="宋体"/>
          <w:color w:val="000000"/>
          <w:sz w:val="24"/>
        </w:rPr>
      </w:pPr>
      <w:r>
        <w:rPr>
          <w:rFonts w:hint="eastAsia" w:ascii="宋体" w:hAnsi="宋体"/>
          <w:color w:val="000000"/>
          <w:sz w:val="24"/>
        </w:rPr>
        <w:t>在右侧操作台前部设置洁净工作台，蓄电池安装在右侧配重。</w:t>
      </w:r>
    </w:p>
    <w:p>
      <w:pPr>
        <w:spacing w:line="360" w:lineRule="auto"/>
        <w:ind w:firstLine="480" w:firstLineChars="200"/>
        <w:rPr>
          <w:rFonts w:ascii="宋体" w:hAnsi="宋体"/>
          <w:color w:val="000000"/>
          <w:sz w:val="24"/>
        </w:rPr>
      </w:pPr>
      <w:r>
        <w:rPr>
          <w:rFonts w:hint="eastAsia" w:ascii="宋体" w:hAnsi="宋体"/>
          <w:color w:val="000000"/>
          <w:sz w:val="24"/>
        </w:rPr>
        <w:t>车顶安装换气扇、市电空调，左侧安装外接市电。</w:t>
      </w:r>
    </w:p>
    <w:p>
      <w:pPr>
        <w:spacing w:line="360" w:lineRule="auto"/>
        <w:outlineLvl w:val="0"/>
        <w:rPr>
          <w:rFonts w:ascii="宋体" w:hAnsi="宋体"/>
          <w:b/>
          <w:color w:val="000000"/>
          <w:sz w:val="24"/>
        </w:rPr>
      </w:pPr>
      <w:r>
        <w:rPr>
          <w:rFonts w:hint="eastAsia" w:ascii="宋体" w:hAnsi="宋体"/>
          <w:b/>
          <w:color w:val="000000"/>
          <w:sz w:val="24"/>
        </w:rPr>
        <w:t>C、系统功能</w:t>
      </w:r>
      <w:bookmarkEnd w:id="116"/>
      <w:bookmarkEnd w:id="117"/>
      <w:r>
        <w:rPr>
          <w:rFonts w:hint="eastAsia" w:ascii="宋体" w:hAnsi="宋体"/>
          <w:b/>
          <w:color w:val="000000"/>
          <w:sz w:val="24"/>
        </w:rPr>
        <w:t>要求</w:t>
      </w:r>
    </w:p>
    <w:p>
      <w:pPr>
        <w:spacing w:line="360" w:lineRule="auto"/>
        <w:ind w:firstLine="480"/>
        <w:rPr>
          <w:rFonts w:ascii="宋体" w:hAnsi="宋体"/>
          <w:sz w:val="24"/>
        </w:rPr>
      </w:pPr>
      <w:r>
        <w:rPr>
          <w:rFonts w:hint="eastAsia" w:ascii="宋体" w:hAnsi="宋体"/>
          <w:sz w:val="24"/>
        </w:rPr>
        <w:t>配电系统由市电、配电箱、防雷接地系统等设备组成，是车辆重要环境保障部分，为车载检测等设备提供电源。</w:t>
      </w:r>
    </w:p>
    <w:p>
      <w:pPr>
        <w:spacing w:line="360" w:lineRule="auto"/>
        <w:ind w:firstLine="460" w:firstLineChars="192"/>
        <w:rPr>
          <w:rFonts w:ascii="宋体" w:hAnsi="宋体"/>
          <w:sz w:val="24"/>
        </w:rPr>
      </w:pPr>
      <w:r>
        <w:rPr>
          <w:rFonts w:hint="eastAsia" w:ascii="宋体" w:hAnsi="宋体"/>
          <w:sz w:val="24"/>
        </w:rPr>
        <w:t>供电系统由配电箱来完成配电控制，配电箱是全车配电系统的核心部分，在配电箱上配有交流电压显示、电流显示，频率显示等智能数字显示表，能清楚及时地观测各路供电状况。配电箱每个操作开关上都有明晰的中文标注，简单易懂便于操作。</w:t>
      </w:r>
    </w:p>
    <w:p>
      <w:pPr>
        <w:spacing w:line="360" w:lineRule="auto"/>
        <w:ind w:firstLine="480"/>
        <w:rPr>
          <w:rFonts w:ascii="宋体" w:hAnsi="宋体"/>
          <w:sz w:val="24"/>
        </w:rPr>
      </w:pPr>
      <w:r>
        <w:rPr>
          <w:rFonts w:hint="eastAsia" w:ascii="宋体" w:hAnsi="宋体"/>
          <w:sz w:val="24"/>
        </w:rPr>
        <w:t>配电系统的设计符合GB 50054-95《低压配电设计规范》的要求。</w:t>
      </w:r>
    </w:p>
    <w:p>
      <w:pPr>
        <w:spacing w:line="360" w:lineRule="auto"/>
        <w:ind w:firstLine="480"/>
        <w:rPr>
          <w:rFonts w:ascii="宋体" w:hAnsi="宋体"/>
          <w:sz w:val="24"/>
        </w:rPr>
      </w:pPr>
      <w:r>
        <w:rPr>
          <w:rFonts w:hint="eastAsia" w:ascii="宋体" w:hAnsi="宋体"/>
          <w:sz w:val="24"/>
        </w:rPr>
        <w:t>车内布线整齐、合理、安全、可靠，并适当留有余量。</w:t>
      </w:r>
    </w:p>
    <w:p>
      <w:pPr>
        <w:spacing w:line="360" w:lineRule="auto"/>
        <w:outlineLvl w:val="0"/>
        <w:rPr>
          <w:rFonts w:ascii="宋体" w:hAnsi="宋体"/>
          <w:b/>
          <w:color w:val="000000"/>
          <w:sz w:val="24"/>
        </w:rPr>
      </w:pPr>
      <w:r>
        <w:rPr>
          <w:rFonts w:hint="eastAsia" w:ascii="宋体" w:hAnsi="宋体"/>
          <w:b/>
          <w:color w:val="000000"/>
          <w:sz w:val="24"/>
        </w:rPr>
        <w:t>D、改装要求</w:t>
      </w:r>
    </w:p>
    <w:tbl>
      <w:tblPr>
        <w:tblStyle w:val="2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900"/>
        <w:gridCol w:w="720"/>
        <w:gridCol w:w="720"/>
        <w:gridCol w:w="6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1</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倒车监视</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1套</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主要技术指标</w:t>
            </w:r>
          </w:p>
        </w:tc>
        <w:tc>
          <w:tcPr>
            <w:tcW w:w="6514"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rPr>
                <w:rFonts w:ascii="宋体" w:hAnsi="宋体" w:cs="宋体"/>
                <w:kern w:val="0"/>
                <w:sz w:val="24"/>
              </w:rPr>
            </w:pPr>
            <w:r>
              <w:rPr>
                <w:rFonts w:hint="eastAsia" w:ascii="宋体" w:hAnsi="宋体" w:cs="宋体"/>
                <w:kern w:val="0"/>
                <w:sz w:val="24"/>
              </w:rPr>
              <w:t>屏幕尺寸不小于7寸；</w:t>
            </w:r>
          </w:p>
          <w:p>
            <w:pPr>
              <w:widowControl/>
              <w:spacing w:line="360" w:lineRule="auto"/>
              <w:rPr>
                <w:rFonts w:ascii="宋体" w:hAnsi="宋体" w:cs="宋体"/>
                <w:kern w:val="0"/>
                <w:sz w:val="24"/>
              </w:rPr>
            </w:pPr>
            <w:r>
              <w:rPr>
                <w:rFonts w:hint="eastAsia" w:ascii="宋体" w:hAnsi="宋体" w:cs="宋体"/>
                <w:kern w:val="0"/>
                <w:sz w:val="24"/>
              </w:rPr>
              <w:t>内置GPS导航功能；</w:t>
            </w:r>
          </w:p>
          <w:p>
            <w:pPr>
              <w:widowControl/>
              <w:spacing w:line="360" w:lineRule="auto"/>
              <w:rPr>
                <w:rFonts w:ascii="宋体" w:hAnsi="宋体" w:cs="宋体"/>
                <w:kern w:val="0"/>
                <w:sz w:val="24"/>
              </w:rPr>
            </w:pPr>
            <w:r>
              <w:rPr>
                <w:rFonts w:hint="eastAsia" w:ascii="宋体" w:hAnsi="宋体" w:cs="宋体"/>
                <w:kern w:val="0"/>
                <w:sz w:val="24"/>
              </w:rPr>
              <w:t>内置收音机、蓝牙模块；</w:t>
            </w:r>
          </w:p>
          <w:p>
            <w:pPr>
              <w:widowControl/>
              <w:spacing w:line="360" w:lineRule="auto"/>
              <w:rPr>
                <w:rFonts w:ascii="宋体" w:hAnsi="宋体" w:cs="宋体"/>
                <w:kern w:val="0"/>
                <w:sz w:val="24"/>
              </w:rPr>
            </w:pPr>
            <w:r>
              <w:rPr>
                <w:rFonts w:hint="eastAsia" w:ascii="微软雅黑" w:hAnsi="微软雅黑" w:eastAsia="微软雅黑"/>
                <w:szCs w:val="21"/>
              </w:rPr>
              <w:t>★</w:t>
            </w:r>
            <w:r>
              <w:rPr>
                <w:rFonts w:hint="eastAsia" w:ascii="宋体" w:hAnsi="宋体" w:cs="宋体"/>
                <w:kern w:val="0"/>
                <w:sz w:val="24"/>
              </w:rPr>
              <w:t>支持1080P高清视频播放；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2</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配电集中控制箱</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1套</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主要技术指标</w:t>
            </w:r>
          </w:p>
        </w:tc>
        <w:tc>
          <w:tcPr>
            <w:tcW w:w="6514" w:type="dxa"/>
            <w:tcBorders>
              <w:top w:val="single" w:color="auto" w:sz="4" w:space="0"/>
              <w:left w:val="single" w:color="auto" w:sz="4" w:space="0"/>
              <w:bottom w:val="single" w:color="auto" w:sz="4" w:space="0"/>
              <w:right w:val="single" w:color="auto" w:sz="4" w:space="0"/>
            </w:tcBorders>
            <w:noWrap/>
            <w:vAlign w:val="center"/>
          </w:tcPr>
          <w:p>
            <w:pPr>
              <w:snapToGrid w:val="0"/>
              <w:spacing w:line="312" w:lineRule="auto"/>
              <w:rPr>
                <w:rFonts w:ascii="宋体" w:hAnsi="宋体" w:cs="宋体"/>
                <w:bCs/>
                <w:sz w:val="24"/>
              </w:rPr>
            </w:pPr>
            <w:r>
              <w:rPr>
                <w:rFonts w:hint="eastAsia" w:ascii="微软雅黑" w:hAnsi="微软雅黑" w:eastAsia="微软雅黑"/>
                <w:szCs w:val="21"/>
              </w:rPr>
              <w:t>★</w:t>
            </w:r>
            <w:r>
              <w:rPr>
                <w:rFonts w:hint="eastAsia" w:ascii="宋体" w:hAnsi="宋体" w:cs="宋体"/>
                <w:bCs/>
                <w:sz w:val="24"/>
              </w:rPr>
              <w:t>含电源数显表（显示电压、电流、频率）、漏电保护器、断路器等组件；控制面板为数控机床加工，表面喷塑处理，和箱体可分离，方便检修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3</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电源转换器</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1套</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主要技术指标</w:t>
            </w:r>
          </w:p>
        </w:tc>
        <w:tc>
          <w:tcPr>
            <w:tcW w:w="6514" w:type="dxa"/>
            <w:tcBorders>
              <w:top w:val="single" w:color="auto" w:sz="4" w:space="0"/>
              <w:left w:val="single" w:color="auto" w:sz="4" w:space="0"/>
              <w:bottom w:val="single" w:color="auto" w:sz="4" w:space="0"/>
              <w:right w:val="single" w:color="auto" w:sz="4" w:space="0"/>
            </w:tcBorders>
            <w:noWrap/>
            <w:vAlign w:val="center"/>
          </w:tcPr>
          <w:p>
            <w:pPr>
              <w:snapToGrid w:val="0"/>
              <w:spacing w:line="312" w:lineRule="auto"/>
              <w:rPr>
                <w:rFonts w:ascii="宋体" w:hAnsi="宋体" w:cs="宋体"/>
                <w:bCs/>
                <w:sz w:val="24"/>
              </w:rPr>
            </w:pPr>
            <w:r>
              <w:rPr>
                <w:rFonts w:hint="eastAsia" w:ascii="微软雅黑" w:hAnsi="微软雅黑" w:eastAsia="微软雅黑"/>
                <w:szCs w:val="21"/>
              </w:rPr>
              <w:t>★</w:t>
            </w:r>
            <w:r>
              <w:rPr>
                <w:rFonts w:hint="eastAsia" w:ascii="宋体" w:hAnsi="宋体" w:cs="宋体"/>
                <w:bCs/>
                <w:sz w:val="24"/>
              </w:rPr>
              <w:t>交流转直流，具有短路/过负载/过电压/过温度保护、内置直流风扇、可承受300VAC浪涌输入5秒、频率范围47-63Hz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4</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接地系统</w:t>
            </w:r>
          </w:p>
        </w:tc>
        <w:tc>
          <w:tcPr>
            <w:tcW w:w="720" w:type="dxa"/>
            <w:tcBorders>
              <w:top w:val="single" w:color="auto" w:sz="4" w:space="0"/>
              <w:left w:val="single" w:color="auto" w:sz="4" w:space="0"/>
              <w:bottom w:val="single" w:color="auto" w:sz="4" w:space="0"/>
              <w:right w:val="single" w:color="auto" w:sz="4" w:space="0"/>
            </w:tcBorders>
            <w:noWrap/>
            <w:vAlign w:val="center"/>
          </w:tcPr>
          <w:p>
            <w:pPr>
              <w:tabs>
                <w:tab w:val="left" w:pos="674"/>
              </w:tabs>
              <w:adjustRightInd w:val="0"/>
              <w:snapToGrid w:val="0"/>
              <w:rPr>
                <w:rFonts w:ascii="宋体" w:hAnsi="宋体" w:cs="Courier New"/>
                <w:bCs/>
                <w:sz w:val="24"/>
              </w:rPr>
            </w:pPr>
            <w:r>
              <w:rPr>
                <w:rFonts w:hint="eastAsia" w:ascii="宋体" w:hAnsi="宋体" w:cs="Courier New"/>
                <w:bCs/>
                <w:sz w:val="24"/>
              </w:rPr>
              <w:t>1根</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主要技术指标</w:t>
            </w:r>
          </w:p>
        </w:tc>
        <w:tc>
          <w:tcPr>
            <w:tcW w:w="6514" w:type="dxa"/>
            <w:tcBorders>
              <w:top w:val="single" w:color="auto" w:sz="4" w:space="0"/>
              <w:left w:val="single" w:color="auto" w:sz="4" w:space="0"/>
              <w:bottom w:val="single" w:color="auto" w:sz="4" w:space="0"/>
              <w:right w:val="single" w:color="auto" w:sz="4" w:space="0"/>
            </w:tcBorders>
            <w:noWrap/>
            <w:vAlign w:val="center"/>
          </w:tcPr>
          <w:p>
            <w:pPr>
              <w:snapToGrid w:val="0"/>
              <w:spacing w:line="312" w:lineRule="auto"/>
              <w:rPr>
                <w:rFonts w:ascii="宋体" w:hAnsi="宋体" w:cs="宋体"/>
                <w:bCs/>
                <w:sz w:val="24"/>
              </w:rPr>
            </w:pPr>
            <w:r>
              <w:rPr>
                <w:rFonts w:hint="eastAsia" w:ascii="宋体" w:hAnsi="宋体" w:cs="宋体"/>
                <w:bCs/>
                <w:sz w:val="24"/>
              </w:rPr>
              <w:t>含接地拖鞭、接地桩（45#圆钢φ18,专用接地棒：长度650mm，直径18mm，镀锌厚度0.25mm，具有很强的强度和良好的导电性。专用接地线：线径6mm2,长度5米，外表透明塑料皮，具有很强的柔软性，是专用接地线）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5</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供电防雷器</w:t>
            </w:r>
          </w:p>
        </w:tc>
        <w:tc>
          <w:tcPr>
            <w:tcW w:w="720" w:type="dxa"/>
            <w:tcBorders>
              <w:top w:val="single" w:color="auto" w:sz="4" w:space="0"/>
              <w:left w:val="single" w:color="auto" w:sz="4" w:space="0"/>
              <w:bottom w:val="single" w:color="auto" w:sz="4" w:space="0"/>
              <w:right w:val="single" w:color="auto" w:sz="4" w:space="0"/>
            </w:tcBorders>
            <w:noWrap/>
            <w:vAlign w:val="center"/>
          </w:tcPr>
          <w:p>
            <w:pPr>
              <w:tabs>
                <w:tab w:val="left" w:pos="674"/>
              </w:tabs>
              <w:adjustRightInd w:val="0"/>
              <w:snapToGrid w:val="0"/>
              <w:rPr>
                <w:rFonts w:ascii="宋体" w:hAnsi="宋体" w:cs="Courier New"/>
                <w:bCs/>
                <w:sz w:val="24"/>
              </w:rPr>
            </w:pPr>
            <w:r>
              <w:rPr>
                <w:rFonts w:hint="eastAsia" w:ascii="宋体" w:hAnsi="宋体" w:cs="Courier New"/>
                <w:bCs/>
                <w:sz w:val="24"/>
              </w:rPr>
              <w:t>1个</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技术指标</w:t>
            </w:r>
          </w:p>
        </w:tc>
        <w:tc>
          <w:tcPr>
            <w:tcW w:w="6514" w:type="dxa"/>
            <w:tcBorders>
              <w:top w:val="single" w:color="auto" w:sz="4" w:space="0"/>
              <w:left w:val="single" w:color="auto" w:sz="4" w:space="0"/>
              <w:bottom w:val="single" w:color="auto" w:sz="4" w:space="0"/>
              <w:right w:val="single" w:color="auto" w:sz="4" w:space="0"/>
            </w:tcBorders>
            <w:noWrap/>
            <w:vAlign w:val="center"/>
          </w:tcPr>
          <w:p>
            <w:pPr>
              <w:snapToGrid w:val="0"/>
              <w:spacing w:line="312" w:lineRule="auto"/>
              <w:rPr>
                <w:rFonts w:ascii="宋体" w:hAnsi="宋体" w:cs="宋体"/>
                <w:bCs/>
                <w:sz w:val="24"/>
              </w:rPr>
            </w:pPr>
            <w:r>
              <w:rPr>
                <w:rFonts w:hint="eastAsia" w:ascii="宋体" w:hAnsi="宋体" w:cs="宋体"/>
                <w:bCs/>
                <w:sz w:val="24"/>
              </w:rPr>
              <w:t>适用于交流50Hz，220V供电系统</w:t>
            </w:r>
          </w:p>
          <w:p>
            <w:pPr>
              <w:snapToGrid w:val="0"/>
              <w:spacing w:line="312" w:lineRule="auto"/>
              <w:rPr>
                <w:rFonts w:ascii="宋体" w:hAnsi="宋体" w:cs="宋体"/>
                <w:bCs/>
                <w:sz w:val="24"/>
              </w:rPr>
            </w:pPr>
            <w:r>
              <w:rPr>
                <w:rFonts w:hint="eastAsia" w:ascii="宋体" w:hAnsi="宋体" w:cs="宋体"/>
                <w:bCs/>
                <w:sz w:val="24"/>
              </w:rPr>
              <w:t>标称放电电流20KA</w:t>
            </w:r>
          </w:p>
          <w:p>
            <w:pPr>
              <w:snapToGrid w:val="0"/>
              <w:spacing w:line="312" w:lineRule="auto"/>
              <w:rPr>
                <w:rFonts w:ascii="宋体" w:hAnsi="宋体" w:cs="宋体"/>
                <w:bCs/>
                <w:sz w:val="24"/>
              </w:rPr>
            </w:pPr>
            <w:r>
              <w:rPr>
                <w:rFonts w:hint="eastAsia" w:ascii="宋体" w:hAnsi="宋体" w:cs="宋体"/>
                <w:bCs/>
                <w:sz w:val="24"/>
              </w:rPr>
              <w:t>最大放电电流40KA</w:t>
            </w:r>
          </w:p>
          <w:p>
            <w:pPr>
              <w:snapToGrid w:val="0"/>
              <w:spacing w:line="312" w:lineRule="auto"/>
              <w:rPr>
                <w:rFonts w:ascii="宋体" w:hAnsi="宋体" w:cs="宋体"/>
                <w:bCs/>
                <w:sz w:val="24"/>
              </w:rPr>
            </w:pPr>
            <w:r>
              <w:rPr>
                <w:rFonts w:hint="eastAsia" w:ascii="宋体" w:hAnsi="宋体" w:cs="宋体"/>
                <w:bCs/>
                <w:sz w:val="24"/>
              </w:rPr>
              <w:t>残压低，漏电流小</w:t>
            </w:r>
          </w:p>
          <w:p>
            <w:pPr>
              <w:snapToGrid w:val="0"/>
              <w:spacing w:line="312" w:lineRule="auto"/>
              <w:rPr>
                <w:rFonts w:ascii="宋体" w:hAnsi="宋体" w:cs="宋体"/>
                <w:bCs/>
                <w:sz w:val="24"/>
              </w:rPr>
            </w:pPr>
            <w:r>
              <w:rPr>
                <w:rFonts w:hint="eastAsia" w:ascii="宋体" w:hAnsi="宋体" w:cs="宋体"/>
                <w:bCs/>
                <w:sz w:val="24"/>
              </w:rPr>
              <w:t>具有热脱扣(熔断)功能，响应速度快</w:t>
            </w:r>
          </w:p>
          <w:p>
            <w:pPr>
              <w:snapToGrid w:val="0"/>
              <w:spacing w:line="312" w:lineRule="auto"/>
              <w:rPr>
                <w:rFonts w:ascii="宋体" w:hAnsi="宋体" w:cs="宋体"/>
                <w:bCs/>
                <w:sz w:val="24"/>
              </w:rPr>
            </w:pPr>
            <w:r>
              <w:rPr>
                <w:rFonts w:hint="eastAsia" w:ascii="宋体" w:hAnsi="宋体" w:cs="宋体"/>
                <w:bCs/>
                <w:sz w:val="24"/>
              </w:rPr>
              <w:t>标准导轨安装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6</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电缆盘</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1套</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技术指标</w:t>
            </w:r>
          </w:p>
        </w:tc>
        <w:tc>
          <w:tcPr>
            <w:tcW w:w="6514" w:type="dxa"/>
            <w:tcBorders>
              <w:top w:val="single" w:color="auto" w:sz="4" w:space="0"/>
              <w:left w:val="single" w:color="auto" w:sz="4" w:space="0"/>
              <w:bottom w:val="single" w:color="auto" w:sz="4" w:space="0"/>
              <w:right w:val="single" w:color="auto" w:sz="4" w:space="0"/>
            </w:tcBorders>
            <w:noWrap/>
            <w:vAlign w:val="center"/>
          </w:tcPr>
          <w:p>
            <w:pPr>
              <w:snapToGrid w:val="0"/>
              <w:spacing w:line="312" w:lineRule="auto"/>
              <w:rPr>
                <w:rFonts w:ascii="宋体" w:hAnsi="宋体" w:cs="宋体"/>
                <w:bCs/>
                <w:sz w:val="24"/>
              </w:rPr>
            </w:pPr>
            <w:r>
              <w:rPr>
                <w:rFonts w:hint="eastAsia" w:ascii="宋体" w:hAnsi="宋体" w:cs="宋体"/>
                <w:bCs/>
                <w:sz w:val="24"/>
              </w:rPr>
              <w:t>手动线缆盘，含橡套线缆30米，配插头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7</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车内电源插座</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1套</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主要技术指标</w:t>
            </w:r>
          </w:p>
        </w:tc>
        <w:tc>
          <w:tcPr>
            <w:tcW w:w="6514" w:type="dxa"/>
            <w:tcBorders>
              <w:top w:val="single" w:color="auto" w:sz="4" w:space="0"/>
              <w:left w:val="single" w:color="auto" w:sz="4" w:space="0"/>
              <w:bottom w:val="single" w:color="auto" w:sz="4" w:space="0"/>
              <w:right w:val="single" w:color="auto" w:sz="4" w:space="0"/>
            </w:tcBorders>
            <w:noWrap/>
            <w:vAlign w:val="center"/>
          </w:tcPr>
          <w:p>
            <w:pPr>
              <w:snapToGrid w:val="0"/>
              <w:spacing w:line="312" w:lineRule="auto"/>
              <w:rPr>
                <w:rFonts w:ascii="宋体" w:hAnsi="宋体" w:cs="宋体"/>
                <w:bCs/>
                <w:sz w:val="24"/>
              </w:rPr>
            </w:pPr>
            <w:r>
              <w:rPr>
                <w:rFonts w:hint="eastAsia" w:ascii="宋体" w:hAnsi="宋体" w:cs="宋体"/>
                <w:bCs/>
                <w:sz w:val="24"/>
              </w:rPr>
              <w:t>西门子（或同等品牌）、AC220V、5孔电源插座、根据需求灵活匹配，不少于4个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8</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宋体"/>
                <w:kern w:val="0"/>
                <w:sz w:val="24"/>
              </w:rPr>
            </w:pPr>
            <w:r>
              <w:rPr>
                <w:rFonts w:hint="eastAsia" w:ascii="宋体" w:hAnsi="宋体" w:cs="Courier New"/>
                <w:bCs/>
                <w:sz w:val="24"/>
              </w:rPr>
              <w:t>车外电源防水接口</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1套</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技术指标</w:t>
            </w:r>
          </w:p>
        </w:tc>
        <w:tc>
          <w:tcPr>
            <w:tcW w:w="6514" w:type="dxa"/>
            <w:tcBorders>
              <w:top w:val="single" w:color="auto" w:sz="4" w:space="0"/>
              <w:left w:val="single" w:color="auto" w:sz="4" w:space="0"/>
              <w:bottom w:val="single" w:color="auto" w:sz="4" w:space="0"/>
              <w:right w:val="single" w:color="auto" w:sz="4" w:space="0"/>
            </w:tcBorders>
            <w:noWrap/>
            <w:vAlign w:val="center"/>
          </w:tcPr>
          <w:p>
            <w:pPr>
              <w:snapToGrid w:val="0"/>
              <w:spacing w:line="312" w:lineRule="auto"/>
              <w:rPr>
                <w:rFonts w:ascii="宋体" w:hAnsi="宋体" w:cs="宋体"/>
                <w:bCs/>
                <w:sz w:val="24"/>
              </w:rPr>
            </w:pPr>
            <w:r>
              <w:rPr>
                <w:rFonts w:hint="eastAsia" w:ascii="宋体" w:hAnsi="宋体" w:cs="宋体"/>
                <w:bCs/>
                <w:sz w:val="24"/>
              </w:rPr>
              <w:t>含市电接口和接地柱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9</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乘员座椅</w:t>
            </w:r>
          </w:p>
        </w:tc>
        <w:tc>
          <w:tcPr>
            <w:tcW w:w="720"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rPr>
                <w:rFonts w:ascii="宋体" w:hAnsi="宋体" w:cs="宋体"/>
                <w:kern w:val="0"/>
                <w:sz w:val="24"/>
              </w:rPr>
            </w:pPr>
            <w:r>
              <w:rPr>
                <w:rFonts w:hint="eastAsia" w:ascii="宋体" w:hAnsi="宋体" w:cs="宋体"/>
                <w:kern w:val="0"/>
                <w:sz w:val="24"/>
              </w:rPr>
              <w:t>2套</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主要技术指标</w:t>
            </w:r>
          </w:p>
        </w:tc>
        <w:tc>
          <w:tcPr>
            <w:tcW w:w="6514"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rPr>
                <w:rFonts w:ascii="宋体" w:hAnsi="宋体" w:cs="宋体"/>
                <w:kern w:val="0"/>
                <w:sz w:val="24"/>
              </w:rPr>
            </w:pPr>
            <w:r>
              <w:rPr>
                <w:rFonts w:hint="eastAsia" w:ascii="宋体" w:hAnsi="宋体" w:cs="宋体"/>
                <w:kern w:val="0"/>
                <w:sz w:val="24"/>
              </w:rPr>
              <w:t>乘员座椅，基型车座椅改制，两个双人椅，一个单人椅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10</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车顶及侧壁加强</w:t>
            </w:r>
          </w:p>
        </w:tc>
        <w:tc>
          <w:tcPr>
            <w:tcW w:w="720"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rPr>
                <w:rFonts w:ascii="宋体" w:hAnsi="宋体" w:cs="宋体"/>
                <w:kern w:val="0"/>
                <w:sz w:val="24"/>
              </w:rPr>
            </w:pPr>
            <w:r>
              <w:rPr>
                <w:rFonts w:hint="eastAsia" w:ascii="宋体" w:hAnsi="宋体" w:cs="宋体"/>
                <w:kern w:val="0"/>
                <w:sz w:val="24"/>
              </w:rPr>
              <w:t>1套</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技术指标</w:t>
            </w:r>
          </w:p>
        </w:tc>
        <w:tc>
          <w:tcPr>
            <w:tcW w:w="6514"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rPr>
                <w:rFonts w:ascii="宋体" w:hAnsi="宋体" w:cs="宋体"/>
                <w:kern w:val="0"/>
                <w:sz w:val="24"/>
              </w:rPr>
            </w:pPr>
            <w:r>
              <w:rPr>
                <w:rFonts w:hint="eastAsia" w:ascii="宋体" w:hAnsi="宋体" w:cs="宋体"/>
                <w:kern w:val="0"/>
                <w:sz w:val="24"/>
              </w:rPr>
              <w:t>根据需求改制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11</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操作台</w:t>
            </w:r>
          </w:p>
        </w:tc>
        <w:tc>
          <w:tcPr>
            <w:tcW w:w="720"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rPr>
                <w:rFonts w:ascii="宋体" w:hAnsi="宋体" w:cs="宋体"/>
                <w:kern w:val="0"/>
                <w:sz w:val="24"/>
              </w:rPr>
            </w:pPr>
            <w:r>
              <w:rPr>
                <w:rFonts w:hint="eastAsia" w:ascii="宋体" w:hAnsi="宋体" w:cs="宋体"/>
                <w:kern w:val="0"/>
                <w:sz w:val="24"/>
              </w:rPr>
              <w:t>2套</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技术指标</w:t>
            </w:r>
          </w:p>
        </w:tc>
        <w:tc>
          <w:tcPr>
            <w:tcW w:w="6514"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rPr>
                <w:rFonts w:ascii="宋体" w:hAnsi="宋体" w:cs="宋体"/>
                <w:kern w:val="0"/>
                <w:sz w:val="24"/>
              </w:rPr>
            </w:pPr>
            <w:r>
              <w:rPr>
                <w:rFonts w:hint="eastAsia" w:ascii="宋体" w:hAnsi="宋体" w:cs="宋体"/>
                <w:kern w:val="0"/>
                <w:sz w:val="24"/>
              </w:rPr>
              <w:t>理化试验台面，耐酸，抗碱，易清洗，不变形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12</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车体内部加装隔热层</w:t>
            </w:r>
          </w:p>
        </w:tc>
        <w:tc>
          <w:tcPr>
            <w:tcW w:w="720"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rPr>
                <w:rFonts w:ascii="宋体" w:hAnsi="宋体" w:cs="宋体"/>
                <w:kern w:val="0"/>
                <w:sz w:val="24"/>
              </w:rPr>
            </w:pPr>
            <w:r>
              <w:rPr>
                <w:rFonts w:hint="eastAsia" w:ascii="宋体" w:hAnsi="宋体" w:cs="宋体"/>
                <w:kern w:val="0"/>
                <w:sz w:val="24"/>
              </w:rPr>
              <w:t>1车</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技术指标</w:t>
            </w:r>
          </w:p>
        </w:tc>
        <w:tc>
          <w:tcPr>
            <w:tcW w:w="6514"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rPr>
                <w:rFonts w:ascii="宋体" w:hAnsi="宋体" w:cs="宋体"/>
                <w:kern w:val="0"/>
                <w:sz w:val="24"/>
              </w:rPr>
            </w:pPr>
            <w:r>
              <w:rPr>
                <w:rFonts w:hint="eastAsia" w:ascii="宋体" w:hAnsi="宋体" w:cs="宋体"/>
                <w:kern w:val="0"/>
                <w:sz w:val="24"/>
              </w:rPr>
              <w:t>隔热材料粘贴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13</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宋体"/>
                <w:kern w:val="0"/>
                <w:sz w:val="24"/>
              </w:rPr>
              <w:t>隔断墙及玻璃观察窗</w:t>
            </w:r>
          </w:p>
        </w:tc>
        <w:tc>
          <w:tcPr>
            <w:tcW w:w="720"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rPr>
                <w:rFonts w:ascii="宋体" w:hAnsi="宋体" w:cs="宋体"/>
                <w:kern w:val="0"/>
                <w:sz w:val="24"/>
              </w:rPr>
            </w:pPr>
            <w:r>
              <w:rPr>
                <w:rFonts w:hint="eastAsia" w:ascii="宋体" w:hAnsi="宋体" w:cs="宋体"/>
                <w:kern w:val="0"/>
                <w:sz w:val="24"/>
              </w:rPr>
              <w:t>1套</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Courier New"/>
                <w:bCs/>
                <w:sz w:val="24"/>
              </w:rPr>
              <w:t>技术指标</w:t>
            </w:r>
          </w:p>
        </w:tc>
        <w:tc>
          <w:tcPr>
            <w:tcW w:w="651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12" w:lineRule="auto"/>
              <w:rPr>
                <w:rFonts w:ascii="宋体" w:hAnsi="宋体" w:cs="Courier New"/>
                <w:bCs/>
                <w:sz w:val="24"/>
              </w:rPr>
            </w:pPr>
            <w:r>
              <w:rPr>
                <w:rFonts w:hint="eastAsia" w:ascii="宋体" w:hAnsi="宋体" w:cs="宋体"/>
                <w:kern w:val="0"/>
                <w:sz w:val="24"/>
              </w:rPr>
              <w:t>根据需求改制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14</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宋体"/>
                <w:kern w:val="0"/>
                <w:sz w:val="24"/>
              </w:rPr>
            </w:pPr>
            <w:r>
              <w:rPr>
                <w:rFonts w:hint="eastAsia" w:ascii="宋体" w:hAnsi="宋体" w:cs="宋体"/>
                <w:kern w:val="0"/>
                <w:sz w:val="24"/>
              </w:rPr>
              <w:t>贴膜</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宋体"/>
                <w:kern w:val="0"/>
                <w:sz w:val="24"/>
              </w:rPr>
              <w:t>1车</w:t>
            </w:r>
          </w:p>
        </w:tc>
        <w:tc>
          <w:tcPr>
            <w:tcW w:w="720" w:type="dxa"/>
            <w:tcBorders>
              <w:top w:val="single" w:color="auto" w:sz="4" w:space="0"/>
              <w:left w:val="single" w:color="auto" w:sz="4" w:space="0"/>
              <w:bottom w:val="single" w:color="auto" w:sz="4" w:space="0"/>
              <w:right w:val="single" w:color="auto" w:sz="4" w:space="0"/>
            </w:tcBorders>
            <w:noWrap/>
            <w:vAlign w:val="center"/>
          </w:tcPr>
          <w:p/>
        </w:tc>
        <w:tc>
          <w:tcPr>
            <w:tcW w:w="6514"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rPr>
                <w:rFonts w:ascii="宋体" w:hAnsi="宋体" w:cs="宋体"/>
                <w:kern w:val="0"/>
                <w:sz w:val="24"/>
              </w:rPr>
            </w:pPr>
            <w:r>
              <w:rPr>
                <w:rFonts w:hint="eastAsia" w:ascii="宋体" w:hAnsi="宋体" w:cs="宋体"/>
                <w:kern w:val="0"/>
                <w:sz w:val="24"/>
              </w:rPr>
              <w:t>除前档和正副司机小三角窗外整车玻璃贴深灰色太阳膜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15</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宋体"/>
                <w:kern w:val="0"/>
                <w:sz w:val="24"/>
              </w:rPr>
            </w:pPr>
            <w:r>
              <w:rPr>
                <w:rFonts w:hint="eastAsia" w:ascii="宋体" w:hAnsi="宋体" w:cs="宋体"/>
                <w:kern w:val="0"/>
                <w:sz w:val="24"/>
              </w:rPr>
              <w:t>地板</w:t>
            </w:r>
          </w:p>
        </w:tc>
        <w:tc>
          <w:tcPr>
            <w:tcW w:w="720" w:type="dxa"/>
            <w:tcBorders>
              <w:top w:val="single" w:color="auto" w:sz="4" w:space="0"/>
              <w:left w:val="single" w:color="auto" w:sz="4" w:space="0"/>
              <w:bottom w:val="single" w:color="auto" w:sz="4" w:space="0"/>
              <w:right w:val="single" w:color="auto" w:sz="4" w:space="0"/>
            </w:tcBorders>
            <w:noWrap/>
            <w:vAlign w:val="center"/>
          </w:tcPr>
          <w:p>
            <w:r>
              <w:rPr>
                <w:rFonts w:hint="eastAsia" w:ascii="宋体" w:hAnsi="宋体" w:cs="宋体"/>
                <w:kern w:val="0"/>
                <w:sz w:val="24"/>
              </w:rPr>
              <w:t>1车</w:t>
            </w:r>
          </w:p>
        </w:tc>
        <w:tc>
          <w:tcPr>
            <w:tcW w:w="720" w:type="dxa"/>
            <w:tcBorders>
              <w:top w:val="single" w:color="auto" w:sz="4" w:space="0"/>
              <w:left w:val="single" w:color="auto" w:sz="4" w:space="0"/>
              <w:bottom w:val="single" w:color="auto" w:sz="4" w:space="0"/>
              <w:right w:val="single" w:color="auto" w:sz="4" w:space="0"/>
            </w:tcBorders>
            <w:noWrap/>
            <w:vAlign w:val="center"/>
          </w:tcPr>
          <w:p/>
        </w:tc>
        <w:tc>
          <w:tcPr>
            <w:tcW w:w="6514"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rPr>
                <w:rFonts w:ascii="宋体" w:hAnsi="宋体" w:cs="宋体"/>
                <w:kern w:val="0"/>
                <w:sz w:val="24"/>
              </w:rPr>
            </w:pPr>
            <w:r>
              <w:rPr>
                <w:rFonts w:hint="eastAsia" w:ascii="宋体" w:hAnsi="宋体" w:cs="宋体"/>
                <w:kern w:val="0"/>
                <w:sz w:val="24"/>
              </w:rPr>
              <w:t>灰色耐磨印花防腐蚀地板革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16</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宋体"/>
                <w:kern w:val="0"/>
                <w:sz w:val="24"/>
              </w:rPr>
            </w:pPr>
            <w:r>
              <w:rPr>
                <w:rFonts w:hint="eastAsia" w:ascii="宋体" w:hAnsi="宋体" w:cs="宋体"/>
                <w:kern w:val="0"/>
                <w:sz w:val="24"/>
              </w:rPr>
              <w:t>灭火器</w:t>
            </w:r>
          </w:p>
        </w:tc>
        <w:tc>
          <w:tcPr>
            <w:tcW w:w="720" w:type="dxa"/>
            <w:tcBorders>
              <w:top w:val="single" w:color="auto" w:sz="4" w:space="0"/>
              <w:left w:val="single" w:color="auto" w:sz="4" w:space="0"/>
              <w:bottom w:val="single" w:color="auto" w:sz="4" w:space="0"/>
              <w:right w:val="single" w:color="auto" w:sz="4" w:space="0"/>
            </w:tcBorders>
            <w:noWrap/>
            <w:vAlign w:val="center"/>
          </w:tcPr>
          <w:p>
            <w:pPr>
              <w:tabs>
                <w:tab w:val="left" w:pos="674"/>
              </w:tabs>
              <w:adjustRightInd w:val="0"/>
              <w:snapToGrid w:val="0"/>
              <w:rPr>
                <w:rFonts w:ascii="宋体" w:hAnsi="宋体" w:cs="Courier New"/>
                <w:bCs/>
                <w:sz w:val="24"/>
              </w:rPr>
            </w:pPr>
            <w:r>
              <w:rPr>
                <w:rFonts w:hint="eastAsia" w:ascii="宋体" w:hAnsi="宋体" w:cs="宋体"/>
                <w:kern w:val="0"/>
                <w:sz w:val="24"/>
              </w:rPr>
              <w:t>1套</w:t>
            </w:r>
          </w:p>
        </w:tc>
        <w:tc>
          <w:tcPr>
            <w:tcW w:w="720" w:type="dxa"/>
            <w:tcBorders>
              <w:top w:val="single" w:color="auto" w:sz="4" w:space="0"/>
              <w:left w:val="single" w:color="auto" w:sz="4" w:space="0"/>
              <w:bottom w:val="single" w:color="auto" w:sz="4" w:space="0"/>
              <w:right w:val="single" w:color="auto" w:sz="4" w:space="0"/>
            </w:tcBorders>
            <w:noWrap/>
            <w:vAlign w:val="center"/>
          </w:tcPr>
          <w:p/>
        </w:tc>
        <w:tc>
          <w:tcPr>
            <w:tcW w:w="6514"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rPr>
                <w:rFonts w:ascii="宋体" w:hAnsi="宋体" w:cs="宋体"/>
                <w:kern w:val="0"/>
                <w:sz w:val="24"/>
              </w:rPr>
            </w:pPr>
            <w:r>
              <w:rPr>
                <w:rFonts w:hint="eastAsia" w:ascii="宋体" w:hAnsi="宋体" w:cs="宋体"/>
                <w:kern w:val="0"/>
                <w:sz w:val="24"/>
              </w:rPr>
              <w:t>2kg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Courier New"/>
                <w:bCs/>
                <w:sz w:val="24"/>
              </w:rPr>
            </w:pPr>
            <w:r>
              <w:rPr>
                <w:rFonts w:hint="eastAsia" w:ascii="宋体" w:hAnsi="宋体" w:cs="Courier New"/>
                <w:bCs/>
                <w:sz w:val="24"/>
              </w:rPr>
              <w:t>17</w:t>
            </w:r>
          </w:p>
        </w:tc>
        <w:tc>
          <w:tcPr>
            <w:tcW w:w="90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88" w:leftChars="-42"/>
              <w:rPr>
                <w:rFonts w:ascii="宋体" w:hAnsi="宋体" w:cs="宋体"/>
                <w:kern w:val="0"/>
                <w:sz w:val="24"/>
              </w:rPr>
            </w:pPr>
            <w:r>
              <w:rPr>
                <w:rFonts w:hint="eastAsia" w:ascii="宋体" w:hAnsi="宋体" w:cs="宋体"/>
                <w:kern w:val="0"/>
                <w:sz w:val="24"/>
              </w:rPr>
              <w:t>其它</w:t>
            </w:r>
          </w:p>
        </w:tc>
        <w:tc>
          <w:tcPr>
            <w:tcW w:w="720" w:type="dxa"/>
            <w:tcBorders>
              <w:top w:val="single" w:color="auto" w:sz="4" w:space="0"/>
              <w:left w:val="single" w:color="auto" w:sz="4" w:space="0"/>
              <w:bottom w:val="single" w:color="auto" w:sz="4" w:space="0"/>
              <w:right w:val="single" w:color="auto" w:sz="4" w:space="0"/>
            </w:tcBorders>
            <w:noWrap/>
            <w:vAlign w:val="center"/>
          </w:tcPr>
          <w:p>
            <w:pPr>
              <w:tabs>
                <w:tab w:val="left" w:pos="674"/>
              </w:tabs>
              <w:adjustRightInd w:val="0"/>
              <w:snapToGrid w:val="0"/>
              <w:rPr>
                <w:rFonts w:ascii="宋体" w:hAnsi="宋体" w:cs="宋体"/>
                <w:kern w:val="0"/>
                <w:sz w:val="24"/>
              </w:rPr>
            </w:pPr>
            <w:r>
              <w:rPr>
                <w:rFonts w:hint="eastAsia" w:ascii="宋体" w:hAnsi="宋体" w:cs="宋体"/>
                <w:kern w:val="0"/>
                <w:sz w:val="24"/>
              </w:rPr>
              <w:t>1项</w:t>
            </w:r>
          </w:p>
        </w:tc>
        <w:tc>
          <w:tcPr>
            <w:tcW w:w="720" w:type="dxa"/>
            <w:tcBorders>
              <w:top w:val="single" w:color="auto" w:sz="4" w:space="0"/>
              <w:left w:val="single" w:color="auto" w:sz="4" w:space="0"/>
              <w:bottom w:val="single" w:color="auto" w:sz="4" w:space="0"/>
              <w:right w:val="single" w:color="auto" w:sz="4" w:space="0"/>
            </w:tcBorders>
            <w:noWrap/>
            <w:vAlign w:val="center"/>
          </w:tcPr>
          <w:p>
            <w:pPr>
              <w:rPr>
                <w:rFonts w:ascii="宋体" w:hAnsi="宋体" w:cs="Courier New"/>
                <w:bCs/>
                <w:sz w:val="24"/>
              </w:rPr>
            </w:pPr>
          </w:p>
        </w:tc>
        <w:tc>
          <w:tcPr>
            <w:tcW w:w="6514"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rPr>
                <w:rFonts w:ascii="宋体" w:hAnsi="宋体" w:cs="宋体"/>
                <w:kern w:val="0"/>
                <w:sz w:val="24"/>
              </w:rPr>
            </w:pPr>
            <w:r>
              <w:rPr>
                <w:rFonts w:hint="eastAsia" w:ascii="宋体" w:hAnsi="宋体" w:cs="宋体"/>
                <w:kern w:val="0"/>
                <w:sz w:val="24"/>
              </w:rPr>
              <w:t>车辆改装辅材、杂件、改装、制造人工费用、系统集成费、改装设计费、试验费、培训费</w:t>
            </w:r>
          </w:p>
        </w:tc>
      </w:tr>
    </w:tbl>
    <w:p>
      <w:pPr>
        <w:rPr>
          <w:bCs/>
          <w:szCs w:val="21"/>
        </w:rPr>
      </w:pPr>
    </w:p>
    <w:p>
      <w:pPr>
        <w:rPr>
          <w:bCs/>
          <w:szCs w:val="21"/>
        </w:rPr>
      </w:pPr>
    </w:p>
    <w:p>
      <w:pPr>
        <w:rPr>
          <w:bCs/>
          <w:szCs w:val="21"/>
        </w:rPr>
      </w:pPr>
    </w:p>
    <w:p>
      <w:pPr>
        <w:rPr>
          <w:bCs/>
          <w:szCs w:val="21"/>
        </w:rPr>
      </w:pPr>
      <w:r>
        <w:rPr>
          <w:rFonts w:hint="eastAsia"/>
          <w:bCs/>
          <w:szCs w:val="21"/>
        </w:rPr>
        <w:t>以上带</w:t>
      </w:r>
      <w:r>
        <w:rPr>
          <w:rFonts w:hint="eastAsia" w:ascii="微软雅黑" w:hAnsi="微软雅黑" w:eastAsia="微软雅黑"/>
          <w:szCs w:val="21"/>
        </w:rPr>
        <w:t>★部分供应商必须满足；若未满足要求将视为废标处理。</w:t>
      </w:r>
    </w:p>
    <w:bookmarkEnd w:id="111"/>
    <w:p>
      <w:pPr>
        <w:rPr>
          <w:rFonts w:ascii="宋体" w:hAnsi="宋体" w:eastAsia="黑体" w:cs="宋体"/>
          <w:b/>
          <w:szCs w:val="21"/>
        </w:rPr>
      </w:pPr>
      <w:bookmarkStart w:id="118" w:name="_Toc346110843"/>
    </w:p>
    <w:bookmarkEnd w:id="118"/>
    <w:p>
      <w:pPr>
        <w:pStyle w:val="2"/>
        <w:keepNext w:val="0"/>
        <w:widowControl w:val="0"/>
        <w:numPr>
          <w:ilvl w:val="0"/>
          <w:numId w:val="4"/>
        </w:numPr>
        <w:adjustRightInd/>
        <w:spacing w:before="340" w:after="330" w:line="240" w:lineRule="auto"/>
        <w:jc w:val="center"/>
        <w:rPr>
          <w:rFonts w:hint="default" w:ascii="宋体" w:eastAsia="宋体" w:cs="宋体"/>
          <w:color w:val="000000"/>
          <w:sz w:val="24"/>
          <w:szCs w:val="24"/>
        </w:rPr>
      </w:pPr>
      <w:bookmarkStart w:id="119" w:name="_Toc31648115"/>
      <w:r>
        <w:rPr>
          <w:rFonts w:ascii="宋体" w:eastAsia="宋体" w:cs="宋体"/>
          <w:color w:val="000000"/>
          <w:sz w:val="24"/>
          <w:szCs w:val="24"/>
        </w:rPr>
        <w:t>谈判文件格式</w:t>
      </w:r>
      <w:bookmarkEnd w:id="119"/>
    </w:p>
    <w:p>
      <w:pPr>
        <w:rPr>
          <w:rFonts w:ascii="宋体" w:hAnsi="宋体" w:eastAsia="宋体" w:cs="宋体"/>
          <w:color w:val="000000"/>
          <w:sz w:val="24"/>
          <w:szCs w:val="22"/>
        </w:rPr>
      </w:pPr>
    </w:p>
    <w:p>
      <w:pPr>
        <w:wordWrap w:val="0"/>
        <w:jc w:val="right"/>
        <w:rPr>
          <w:rFonts w:ascii="宋体" w:hAnsi="宋体" w:eastAsia="宋体" w:cs="宋体"/>
          <w:b/>
          <w:color w:val="000000"/>
          <w:sz w:val="24"/>
          <w:szCs w:val="22"/>
        </w:rPr>
      </w:pPr>
    </w:p>
    <w:p>
      <w:pPr>
        <w:spacing w:line="360" w:lineRule="auto"/>
        <w:ind w:firstLine="482" w:firstLineChars="200"/>
        <w:rPr>
          <w:rFonts w:ascii="宋体" w:hAnsi="宋体" w:eastAsia="宋体" w:cs="宋体"/>
          <w:b/>
          <w:color w:val="000000"/>
          <w:sz w:val="24"/>
          <w:szCs w:val="22"/>
        </w:rPr>
      </w:pPr>
    </w:p>
    <w:p>
      <w:pPr>
        <w:spacing w:line="360" w:lineRule="auto"/>
        <w:ind w:firstLine="482" w:firstLineChars="200"/>
        <w:rPr>
          <w:rFonts w:ascii="宋体" w:hAnsi="宋体" w:eastAsia="宋体" w:cs="宋体"/>
          <w:b/>
          <w:color w:val="000000"/>
          <w:sz w:val="24"/>
          <w:szCs w:val="22"/>
        </w:rPr>
      </w:pPr>
    </w:p>
    <w:p>
      <w:pPr>
        <w:spacing w:line="360" w:lineRule="auto"/>
        <w:ind w:firstLine="4734" w:firstLineChars="1965"/>
        <w:rPr>
          <w:rFonts w:ascii="宋体" w:hAnsi="宋体" w:eastAsia="宋体" w:cs="宋体"/>
          <w:b/>
          <w:color w:val="000000"/>
          <w:sz w:val="24"/>
          <w:szCs w:val="22"/>
        </w:rPr>
      </w:pPr>
      <w:r>
        <w:rPr>
          <w:rFonts w:hint="eastAsia" w:ascii="宋体" w:hAnsi="宋体" w:eastAsia="宋体" w:cs="宋体"/>
          <w:b/>
          <w:color w:val="000000"/>
          <w:sz w:val="24"/>
          <w:szCs w:val="22"/>
        </w:rPr>
        <w:t xml:space="preserve">（项目名称） </w:t>
      </w:r>
    </w:p>
    <w:p>
      <w:pPr>
        <w:spacing w:line="360" w:lineRule="auto"/>
        <w:jc w:val="center"/>
        <w:rPr>
          <w:rFonts w:ascii="宋体" w:hAnsi="宋体" w:eastAsia="宋体" w:cs="宋体"/>
          <w:b/>
          <w:color w:val="000000"/>
          <w:sz w:val="24"/>
          <w:szCs w:val="22"/>
        </w:rPr>
      </w:pPr>
    </w:p>
    <w:p>
      <w:pPr>
        <w:spacing w:line="360" w:lineRule="auto"/>
        <w:jc w:val="center"/>
        <w:rPr>
          <w:rFonts w:ascii="宋体" w:hAnsi="宋体" w:eastAsia="宋体" w:cs="宋体"/>
          <w:b/>
          <w:color w:val="000000"/>
          <w:sz w:val="24"/>
          <w:szCs w:val="22"/>
        </w:rPr>
      </w:pPr>
    </w:p>
    <w:p>
      <w:pPr>
        <w:spacing w:line="360" w:lineRule="auto"/>
        <w:jc w:val="center"/>
        <w:rPr>
          <w:rFonts w:ascii="宋体" w:hAnsi="宋体" w:eastAsia="宋体" w:cs="宋体"/>
          <w:b/>
          <w:color w:val="000000"/>
          <w:sz w:val="24"/>
          <w:szCs w:val="22"/>
        </w:rPr>
      </w:pPr>
    </w:p>
    <w:p>
      <w:pPr>
        <w:spacing w:line="360" w:lineRule="auto"/>
        <w:jc w:val="center"/>
        <w:rPr>
          <w:rFonts w:ascii="宋体" w:hAnsi="宋体" w:eastAsia="宋体" w:cs="宋体"/>
          <w:b/>
          <w:color w:val="000000"/>
          <w:sz w:val="24"/>
          <w:szCs w:val="22"/>
        </w:rPr>
      </w:pPr>
      <w:r>
        <w:rPr>
          <w:rFonts w:hint="eastAsia" w:ascii="宋体" w:hAnsi="宋体" w:eastAsia="宋体" w:cs="宋体"/>
          <w:b/>
          <w:color w:val="000000"/>
          <w:sz w:val="24"/>
          <w:szCs w:val="22"/>
        </w:rPr>
        <w:t>谈判响应文件</w:t>
      </w:r>
    </w:p>
    <w:p>
      <w:pPr>
        <w:spacing w:line="360" w:lineRule="auto"/>
        <w:jc w:val="center"/>
        <w:rPr>
          <w:rFonts w:ascii="宋体" w:hAnsi="宋体" w:eastAsia="宋体" w:cs="宋体"/>
          <w:b/>
          <w:color w:val="000000"/>
          <w:sz w:val="24"/>
          <w:szCs w:val="22"/>
        </w:rPr>
      </w:pPr>
    </w:p>
    <w:p>
      <w:pPr>
        <w:pStyle w:val="8"/>
        <w:widowControl/>
        <w:spacing w:line="360" w:lineRule="auto"/>
        <w:rPr>
          <w:rFonts w:hint="default" w:hAnsi="宋体"/>
          <w:b/>
          <w:color w:val="000000"/>
          <w:sz w:val="24"/>
          <w:szCs w:val="24"/>
        </w:rPr>
      </w:pPr>
    </w:p>
    <w:p>
      <w:pPr>
        <w:pStyle w:val="8"/>
        <w:widowControl/>
        <w:spacing w:line="360" w:lineRule="auto"/>
        <w:ind w:firstLine="2597" w:firstLineChars="1078"/>
        <w:rPr>
          <w:rFonts w:hint="default" w:hAnsi="宋体"/>
          <w:b/>
          <w:color w:val="000000"/>
          <w:sz w:val="24"/>
          <w:szCs w:val="24"/>
        </w:rPr>
      </w:pPr>
      <w:r>
        <w:rPr>
          <w:rFonts w:hAnsi="宋体"/>
          <w:b/>
          <w:color w:val="000000"/>
          <w:sz w:val="24"/>
          <w:szCs w:val="24"/>
        </w:rPr>
        <w:t>项目编号：</w:t>
      </w:r>
    </w:p>
    <w:p>
      <w:pPr>
        <w:spacing w:line="360" w:lineRule="auto"/>
        <w:jc w:val="center"/>
        <w:rPr>
          <w:rFonts w:ascii="宋体" w:hAnsi="宋体" w:eastAsia="宋体" w:cs="宋体"/>
          <w:color w:val="000000"/>
          <w:sz w:val="24"/>
          <w:szCs w:val="22"/>
        </w:rPr>
      </w:pPr>
    </w:p>
    <w:p>
      <w:pPr>
        <w:spacing w:line="360" w:lineRule="auto"/>
        <w:rPr>
          <w:rFonts w:ascii="宋体" w:hAnsi="宋体" w:eastAsia="宋体" w:cs="宋体"/>
          <w:color w:val="000000"/>
          <w:sz w:val="24"/>
          <w:szCs w:val="22"/>
        </w:rPr>
      </w:pPr>
    </w:p>
    <w:p>
      <w:pPr>
        <w:spacing w:line="360" w:lineRule="auto"/>
        <w:rPr>
          <w:rFonts w:ascii="宋体" w:hAnsi="宋体" w:eastAsia="宋体" w:cs="宋体"/>
          <w:color w:val="000000"/>
          <w:sz w:val="24"/>
          <w:szCs w:val="22"/>
        </w:rPr>
      </w:pPr>
    </w:p>
    <w:p>
      <w:pPr>
        <w:spacing w:line="360" w:lineRule="auto"/>
        <w:rPr>
          <w:rFonts w:ascii="宋体" w:hAnsi="宋体" w:eastAsia="宋体" w:cs="宋体"/>
          <w:b/>
          <w:color w:val="000000"/>
          <w:sz w:val="24"/>
          <w:szCs w:val="22"/>
        </w:rPr>
      </w:pPr>
    </w:p>
    <w:p>
      <w:pPr>
        <w:spacing w:line="360" w:lineRule="auto"/>
        <w:rPr>
          <w:rFonts w:ascii="宋体" w:hAnsi="宋体" w:eastAsia="宋体" w:cs="宋体"/>
          <w:color w:val="000000"/>
          <w:sz w:val="24"/>
          <w:szCs w:val="22"/>
        </w:rPr>
      </w:pPr>
    </w:p>
    <w:p>
      <w:pPr>
        <w:spacing w:line="360" w:lineRule="auto"/>
        <w:rPr>
          <w:rFonts w:ascii="宋体" w:hAnsi="宋体" w:eastAsia="宋体" w:cs="宋体"/>
          <w:color w:val="000000"/>
          <w:sz w:val="24"/>
          <w:szCs w:val="22"/>
        </w:rPr>
      </w:pPr>
    </w:p>
    <w:p>
      <w:pPr>
        <w:spacing w:line="360" w:lineRule="auto"/>
        <w:rPr>
          <w:rFonts w:ascii="宋体" w:hAnsi="宋体" w:eastAsia="宋体" w:cs="宋体"/>
          <w:color w:val="000000"/>
          <w:sz w:val="24"/>
          <w:szCs w:val="22"/>
        </w:rPr>
      </w:pPr>
    </w:p>
    <w:p>
      <w:pPr>
        <w:spacing w:line="360" w:lineRule="auto"/>
        <w:rPr>
          <w:rFonts w:ascii="宋体" w:hAnsi="宋体" w:eastAsia="宋体" w:cs="宋体"/>
          <w:color w:val="000000"/>
          <w:sz w:val="24"/>
          <w:szCs w:val="22"/>
        </w:rPr>
      </w:pPr>
    </w:p>
    <w:p>
      <w:pPr>
        <w:spacing w:line="360" w:lineRule="auto"/>
        <w:rPr>
          <w:rFonts w:ascii="宋体" w:hAnsi="宋体" w:eastAsia="宋体" w:cs="宋体"/>
          <w:color w:val="000000"/>
          <w:sz w:val="24"/>
          <w:szCs w:val="22"/>
        </w:rPr>
      </w:pPr>
    </w:p>
    <w:p>
      <w:pPr>
        <w:spacing w:line="360" w:lineRule="auto"/>
        <w:ind w:firstLine="1155" w:firstLineChars="550"/>
        <w:rPr>
          <w:rFonts w:ascii="宋体" w:hAnsi="宋体" w:eastAsia="宋体" w:cs="宋体"/>
          <w:color w:val="000000"/>
          <w:szCs w:val="21"/>
        </w:rPr>
      </w:pPr>
      <w:r>
        <w:rPr>
          <w:rFonts w:hint="eastAsia" w:ascii="宋体" w:hAnsi="宋体" w:eastAsia="宋体" w:cs="宋体"/>
          <w:color w:val="000000"/>
          <w:szCs w:val="21"/>
        </w:rPr>
        <w:t xml:space="preserve"> 投  标  人：</w:t>
      </w:r>
      <w:r>
        <w:rPr>
          <w:rFonts w:hint="eastAsia" w:ascii="宋体" w:hAnsi="宋体" w:eastAsia="宋体" w:cs="宋体"/>
          <w:color w:val="000000"/>
          <w:szCs w:val="21"/>
          <w:u w:val="single"/>
        </w:rPr>
        <w:t xml:space="preserve">                            （盖章）</w:t>
      </w:r>
    </w:p>
    <w:p>
      <w:pPr>
        <w:spacing w:line="360" w:lineRule="auto"/>
        <w:ind w:firstLine="1155" w:firstLineChars="550"/>
        <w:rPr>
          <w:rFonts w:ascii="宋体" w:hAnsi="宋体" w:eastAsia="宋体" w:cs="宋体"/>
          <w:color w:val="000000"/>
          <w:szCs w:val="21"/>
        </w:rPr>
      </w:pPr>
      <w:r>
        <w:rPr>
          <w:rFonts w:hint="eastAsia" w:ascii="宋体" w:hAnsi="宋体" w:eastAsia="宋体" w:cs="宋体"/>
          <w:color w:val="000000"/>
          <w:szCs w:val="21"/>
        </w:rPr>
        <w:t xml:space="preserve"> 法定代表人：</w:t>
      </w:r>
      <w:r>
        <w:rPr>
          <w:rFonts w:hint="eastAsia" w:ascii="宋体" w:hAnsi="宋体" w:eastAsia="宋体" w:cs="宋体"/>
          <w:color w:val="000000"/>
          <w:szCs w:val="21"/>
          <w:u w:val="single"/>
        </w:rPr>
        <w:t xml:space="preserve">                   （盖章或签字）</w:t>
      </w:r>
    </w:p>
    <w:p>
      <w:pPr>
        <w:spacing w:line="360" w:lineRule="auto"/>
        <w:ind w:firstLine="1260" w:firstLineChars="600"/>
        <w:rPr>
          <w:rFonts w:ascii="宋体" w:hAnsi="宋体" w:eastAsia="宋体" w:cs="宋体"/>
          <w:color w:val="000000"/>
          <w:szCs w:val="21"/>
        </w:rPr>
      </w:pPr>
      <w:r>
        <w:rPr>
          <w:rFonts w:hint="eastAsia" w:ascii="宋体" w:hAnsi="宋体" w:eastAsia="宋体" w:cs="宋体"/>
          <w:color w:val="000000"/>
          <w:szCs w:val="21"/>
        </w:rPr>
        <w:t>日      期：  年  月  日</w:t>
      </w:r>
    </w:p>
    <w:p>
      <w:pPr>
        <w:spacing w:line="360" w:lineRule="auto"/>
        <w:outlineLvl w:val="1"/>
        <w:rPr>
          <w:rFonts w:ascii="宋体" w:hAnsi="宋体" w:eastAsia="宋体" w:cs="宋体"/>
          <w:b/>
          <w:color w:val="000000"/>
          <w:sz w:val="24"/>
          <w:szCs w:val="22"/>
        </w:rPr>
      </w:pPr>
      <w:bookmarkStart w:id="120" w:name="_Toc6892"/>
    </w:p>
    <w:p>
      <w:pPr>
        <w:spacing w:line="360" w:lineRule="auto"/>
        <w:outlineLvl w:val="1"/>
        <w:rPr>
          <w:rFonts w:ascii="宋体" w:hAnsi="宋体" w:eastAsia="宋体" w:cs="宋体"/>
          <w:b/>
          <w:color w:val="000000"/>
          <w:szCs w:val="21"/>
        </w:rPr>
      </w:pPr>
    </w:p>
    <w:p>
      <w:pPr>
        <w:spacing w:line="360" w:lineRule="auto"/>
        <w:ind w:firstLine="3865" w:firstLineChars="1604"/>
        <w:outlineLvl w:val="1"/>
        <w:rPr>
          <w:rFonts w:ascii="宋体" w:hAnsi="宋体" w:eastAsia="宋体" w:cs="宋体"/>
          <w:b/>
          <w:color w:val="000000"/>
          <w:sz w:val="24"/>
          <w:szCs w:val="22"/>
        </w:rPr>
      </w:pPr>
    </w:p>
    <w:p>
      <w:pPr>
        <w:spacing w:line="360" w:lineRule="auto"/>
        <w:ind w:firstLine="3865" w:firstLineChars="1604"/>
        <w:outlineLvl w:val="1"/>
        <w:rPr>
          <w:rFonts w:ascii="宋体" w:hAnsi="宋体" w:eastAsia="宋体" w:cs="宋体"/>
          <w:b/>
          <w:color w:val="000000"/>
          <w:sz w:val="24"/>
          <w:szCs w:val="22"/>
        </w:rPr>
      </w:pPr>
      <w:bookmarkStart w:id="121" w:name="_Toc31648116"/>
    </w:p>
    <w:p>
      <w:pPr>
        <w:spacing w:line="360" w:lineRule="auto"/>
        <w:ind w:firstLine="3865" w:firstLineChars="1604"/>
        <w:outlineLvl w:val="1"/>
        <w:rPr>
          <w:rFonts w:ascii="宋体" w:hAnsi="宋体" w:eastAsia="宋体" w:cs="宋体"/>
          <w:b/>
          <w:color w:val="000000"/>
          <w:sz w:val="24"/>
          <w:szCs w:val="22"/>
        </w:rPr>
      </w:pPr>
    </w:p>
    <w:p>
      <w:pPr>
        <w:spacing w:line="360" w:lineRule="auto"/>
        <w:ind w:firstLine="3865" w:firstLineChars="1604"/>
        <w:outlineLvl w:val="1"/>
        <w:rPr>
          <w:rFonts w:ascii="宋体" w:hAnsi="宋体" w:eastAsia="宋体" w:cs="宋体"/>
          <w:b/>
          <w:color w:val="000000"/>
          <w:sz w:val="24"/>
          <w:szCs w:val="22"/>
        </w:rPr>
      </w:pPr>
      <w:r>
        <w:rPr>
          <w:rFonts w:hint="eastAsia" w:ascii="宋体" w:hAnsi="宋体" w:eastAsia="宋体" w:cs="宋体"/>
          <w:b/>
          <w:color w:val="000000"/>
          <w:sz w:val="24"/>
          <w:szCs w:val="22"/>
        </w:rPr>
        <w:t>目  录</w:t>
      </w:r>
      <w:bookmarkEnd w:id="121"/>
    </w:p>
    <w:p>
      <w:pPr>
        <w:spacing w:line="360" w:lineRule="auto"/>
        <w:outlineLvl w:val="1"/>
        <w:rPr>
          <w:rFonts w:ascii="宋体" w:hAnsi="宋体" w:eastAsia="宋体" w:cs="宋体"/>
          <w:b/>
          <w:color w:val="000000"/>
          <w:szCs w:val="21"/>
        </w:rPr>
      </w:pP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一、谈判函</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二、谈判函附录</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 xml:space="preserve">三、法定代表人资格证明书 </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四、法定代表人授权委托书</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五、谈判人资格审查资料</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 xml:space="preserve">六、项目采购承诺 </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七、货物分项报价表</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八、技术规格和商务条款偏差表</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九、反商业贿赂承诺书</w:t>
      </w:r>
    </w:p>
    <w:p>
      <w:pPr>
        <w:spacing w:line="360" w:lineRule="auto"/>
        <w:ind w:left="1688" w:leftChars="254" w:hanging="1155" w:hangingChars="550"/>
        <w:rPr>
          <w:rFonts w:ascii="宋体" w:hAnsi="宋体" w:eastAsia="宋体" w:cs="宋体"/>
          <w:color w:val="000000"/>
          <w:szCs w:val="21"/>
        </w:rPr>
      </w:pPr>
      <w:r>
        <w:rPr>
          <w:rFonts w:hint="eastAsia" w:ascii="宋体" w:hAnsi="宋体" w:eastAsia="宋体" w:cs="宋体"/>
          <w:color w:val="000000"/>
          <w:szCs w:val="21"/>
        </w:rPr>
        <w:t xml:space="preserve">十、谈判文件要求的其它材料及谈判人认为有必要提供的材料 </w:t>
      </w: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outlineLvl w:val="1"/>
        <w:rPr>
          <w:rFonts w:ascii="宋体" w:hAnsi="宋体" w:eastAsia="宋体" w:cs="宋体"/>
          <w:b/>
          <w:color w:val="000000"/>
          <w:szCs w:val="21"/>
        </w:rPr>
      </w:pPr>
    </w:p>
    <w:p>
      <w:pPr>
        <w:spacing w:line="360" w:lineRule="auto"/>
        <w:jc w:val="center"/>
        <w:outlineLvl w:val="1"/>
        <w:rPr>
          <w:rFonts w:ascii="宋体" w:hAnsi="宋体" w:eastAsia="宋体" w:cs="宋体"/>
          <w:b/>
          <w:color w:val="000000"/>
          <w:szCs w:val="21"/>
        </w:rPr>
      </w:pPr>
    </w:p>
    <w:p>
      <w:pPr>
        <w:spacing w:line="360" w:lineRule="auto"/>
        <w:jc w:val="center"/>
        <w:outlineLvl w:val="1"/>
        <w:rPr>
          <w:rFonts w:ascii="宋体" w:hAnsi="宋体" w:eastAsia="宋体" w:cs="宋体"/>
          <w:b/>
          <w:color w:val="000000"/>
          <w:szCs w:val="21"/>
        </w:rPr>
      </w:pPr>
      <w:bookmarkStart w:id="122" w:name="_Toc31648117"/>
      <w:r>
        <w:rPr>
          <w:rFonts w:hint="eastAsia" w:ascii="宋体" w:hAnsi="宋体" w:eastAsia="宋体" w:cs="宋体"/>
          <w:b/>
          <w:color w:val="000000"/>
          <w:szCs w:val="21"/>
        </w:rPr>
        <w:t>一、谈判函</w:t>
      </w:r>
      <w:bookmarkEnd w:id="120"/>
      <w:bookmarkEnd w:id="122"/>
    </w:p>
    <w:p>
      <w:pPr>
        <w:autoSpaceDE w:val="0"/>
        <w:autoSpaceDN w:val="0"/>
        <w:adjustRightInd w:val="0"/>
        <w:spacing w:line="360" w:lineRule="auto"/>
        <w:jc w:val="left"/>
        <w:rPr>
          <w:rFonts w:ascii="宋体" w:hAnsi="宋体" w:eastAsia="宋体" w:cs="宋体"/>
          <w:b/>
          <w:color w:val="000000"/>
          <w:szCs w:val="21"/>
        </w:rPr>
      </w:pPr>
      <w:r>
        <w:rPr>
          <w:rFonts w:hint="eastAsia" w:ascii="宋体" w:hAnsi="宋体" w:eastAsia="宋体" w:cs="宋体"/>
          <w:color w:val="000000"/>
          <w:kern w:val="0"/>
          <w:szCs w:val="21"/>
        </w:rPr>
        <w:t>（招标人名称）：</w:t>
      </w:r>
    </w:p>
    <w:p>
      <w:pPr>
        <w:autoSpaceDE w:val="0"/>
        <w:autoSpaceDN w:val="0"/>
        <w:adjustRightInd w:val="0"/>
        <w:spacing w:line="360" w:lineRule="auto"/>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1．我方已仔细研究了（项目名称）谈判文件的全部内容，愿意以人民币（大写）：_________小写：__________的谈判报价，按合同约定完成本项目，交货期：________，质量：________。</w:t>
      </w:r>
    </w:p>
    <w:p>
      <w:pPr>
        <w:autoSpaceDE w:val="0"/>
        <w:autoSpaceDN w:val="0"/>
        <w:adjustRightInd w:val="0"/>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2．如我方中标： </w:t>
      </w:r>
    </w:p>
    <w:p>
      <w:pPr>
        <w:autoSpaceDE w:val="0"/>
        <w:autoSpaceDN w:val="0"/>
        <w:adjustRightInd w:val="0"/>
        <w:spacing w:line="360" w:lineRule="auto"/>
        <w:jc w:val="left"/>
        <w:rPr>
          <w:rFonts w:ascii="宋体" w:hAnsi="宋体" w:eastAsia="宋体" w:cs="宋体"/>
          <w:color w:val="000000"/>
          <w:kern w:val="0"/>
          <w:szCs w:val="21"/>
        </w:rPr>
      </w:pPr>
      <w:r>
        <w:rPr>
          <w:rFonts w:hint="eastAsia" w:ascii="宋体" w:hAnsi="宋体" w:eastAsia="宋体" w:cs="宋体"/>
          <w:color w:val="000000"/>
          <w:kern w:val="0"/>
          <w:szCs w:val="21"/>
        </w:rPr>
        <w:t>（1）我方承诺在收到中标通知书后，在中标通知书规定的期限内与你方签订合同。</w:t>
      </w:r>
    </w:p>
    <w:p>
      <w:pPr>
        <w:autoSpaceDE w:val="0"/>
        <w:autoSpaceDN w:val="0"/>
        <w:adjustRightInd w:val="0"/>
        <w:spacing w:line="360" w:lineRule="auto"/>
        <w:jc w:val="left"/>
        <w:rPr>
          <w:rFonts w:ascii="宋体" w:hAnsi="宋体" w:eastAsia="宋体" w:cs="宋体"/>
          <w:color w:val="000000"/>
          <w:kern w:val="0"/>
          <w:szCs w:val="21"/>
        </w:rPr>
      </w:pPr>
      <w:r>
        <w:rPr>
          <w:rFonts w:hint="eastAsia" w:ascii="宋体" w:hAnsi="宋体" w:eastAsia="宋体" w:cs="宋体"/>
          <w:color w:val="000000"/>
          <w:kern w:val="0"/>
          <w:szCs w:val="21"/>
        </w:rPr>
        <w:t>（2）随同本投标函递交的投标函附录属于合同文件的组成部分。</w:t>
      </w:r>
    </w:p>
    <w:p>
      <w:pPr>
        <w:autoSpaceDE w:val="0"/>
        <w:autoSpaceDN w:val="0"/>
        <w:adjustRightInd w:val="0"/>
        <w:spacing w:line="360" w:lineRule="auto"/>
        <w:jc w:val="left"/>
        <w:rPr>
          <w:rFonts w:ascii="宋体" w:hAnsi="宋体" w:eastAsia="宋体" w:cs="宋体"/>
          <w:color w:val="000000"/>
          <w:kern w:val="0"/>
          <w:szCs w:val="21"/>
        </w:rPr>
      </w:pPr>
      <w:r>
        <w:rPr>
          <w:rFonts w:hint="eastAsia" w:ascii="宋体" w:hAnsi="宋体" w:eastAsia="宋体" w:cs="宋体"/>
          <w:color w:val="000000"/>
          <w:kern w:val="0"/>
          <w:szCs w:val="21"/>
        </w:rPr>
        <w:t>（3）我方承诺在合同约定的期限内完成并移交全部合同项目。</w:t>
      </w:r>
    </w:p>
    <w:p>
      <w:pPr>
        <w:autoSpaceDE w:val="0"/>
        <w:autoSpaceDN w:val="0"/>
        <w:adjustRightInd w:val="0"/>
        <w:spacing w:line="360" w:lineRule="auto"/>
        <w:jc w:val="left"/>
        <w:rPr>
          <w:rFonts w:ascii="宋体" w:hAnsi="宋体" w:eastAsia="宋体" w:cs="宋体"/>
          <w:color w:val="000000"/>
          <w:kern w:val="0"/>
          <w:szCs w:val="21"/>
        </w:rPr>
      </w:pPr>
      <w:r>
        <w:rPr>
          <w:rFonts w:hint="eastAsia" w:ascii="宋体" w:hAnsi="宋体" w:eastAsia="宋体" w:cs="宋体"/>
          <w:color w:val="000000"/>
          <w:kern w:val="0"/>
          <w:szCs w:val="21"/>
        </w:rPr>
        <w:t>（4）我们愿按《中华人民共和国政府采购法实施条例》、《中华人民共和国政府采购法》、《中华人民共和国合同法》履行我方的全部责任。</w:t>
      </w:r>
    </w:p>
    <w:p>
      <w:pPr>
        <w:autoSpaceDE w:val="0"/>
        <w:autoSpaceDN w:val="0"/>
        <w:adjustRightInd w:val="0"/>
        <w:spacing w:line="360" w:lineRule="auto"/>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3．我方在此声明，所递交的投标文件及有关资料内容完整、真实和准确。 </w:t>
      </w:r>
    </w:p>
    <w:p>
      <w:pPr>
        <w:autoSpaceDE w:val="0"/>
        <w:autoSpaceDN w:val="0"/>
        <w:adjustRightInd w:val="0"/>
        <w:spacing w:line="360" w:lineRule="auto"/>
        <w:ind w:firstLine="420" w:firstLineChars="200"/>
        <w:jc w:val="left"/>
        <w:rPr>
          <w:rFonts w:ascii="宋体" w:hAnsi="宋体" w:eastAsia="宋体" w:cs="宋体"/>
          <w:color w:val="000000"/>
          <w:kern w:val="0"/>
          <w:szCs w:val="21"/>
          <w:u w:val="single"/>
        </w:rPr>
      </w:pPr>
      <w:r>
        <w:rPr>
          <w:rFonts w:hint="eastAsia" w:ascii="宋体" w:hAnsi="宋体" w:eastAsia="宋体" w:cs="宋体"/>
          <w:color w:val="000000"/>
          <w:kern w:val="0"/>
          <w:szCs w:val="21"/>
        </w:rPr>
        <w:t xml:space="preserve">4. </w:t>
      </w:r>
      <w:r>
        <w:rPr>
          <w:rFonts w:hint="eastAsia" w:ascii="宋体" w:hAnsi="宋体" w:eastAsia="宋体" w:cs="宋体"/>
          <w:color w:val="000000"/>
          <w:kern w:val="0"/>
          <w:szCs w:val="21"/>
          <w:u w:val="single"/>
        </w:rPr>
        <w:t xml:space="preserve">                         （其他补充说明）</w:t>
      </w:r>
    </w:p>
    <w:p>
      <w:pPr>
        <w:autoSpaceDE w:val="0"/>
        <w:autoSpaceDN w:val="0"/>
        <w:adjustRightInd w:val="0"/>
        <w:spacing w:line="360" w:lineRule="auto"/>
        <w:ind w:firstLine="315" w:firstLineChars="150"/>
        <w:jc w:val="left"/>
        <w:rPr>
          <w:rFonts w:ascii="宋体" w:hAnsi="宋体" w:eastAsia="宋体" w:cs="宋体"/>
          <w:color w:val="000000"/>
          <w:kern w:val="0"/>
          <w:szCs w:val="21"/>
        </w:rPr>
      </w:pPr>
    </w:p>
    <w:p>
      <w:pPr>
        <w:autoSpaceDE w:val="0"/>
        <w:autoSpaceDN w:val="0"/>
        <w:adjustRightInd w:val="0"/>
        <w:spacing w:line="360" w:lineRule="auto"/>
        <w:jc w:val="left"/>
        <w:rPr>
          <w:rFonts w:ascii="宋体" w:hAnsi="宋体" w:eastAsia="宋体" w:cs="宋体"/>
          <w:color w:val="000000"/>
          <w:kern w:val="0"/>
          <w:szCs w:val="21"/>
        </w:rPr>
      </w:pPr>
      <w:r>
        <w:rPr>
          <w:rFonts w:hint="eastAsia" w:ascii="宋体" w:hAnsi="宋体" w:eastAsia="宋体" w:cs="宋体"/>
          <w:color w:val="000000"/>
          <w:kern w:val="0"/>
          <w:szCs w:val="21"/>
        </w:rPr>
        <w:t>投 标 人：（盖单位章）</w:t>
      </w:r>
    </w:p>
    <w:p>
      <w:pPr>
        <w:autoSpaceDE w:val="0"/>
        <w:autoSpaceDN w:val="0"/>
        <w:adjustRightInd w:val="0"/>
        <w:spacing w:line="360" w:lineRule="auto"/>
        <w:jc w:val="left"/>
        <w:rPr>
          <w:rFonts w:ascii="宋体" w:hAnsi="宋体" w:eastAsia="宋体" w:cs="宋体"/>
          <w:color w:val="000000"/>
          <w:kern w:val="0"/>
          <w:szCs w:val="21"/>
        </w:rPr>
      </w:pPr>
      <w:r>
        <w:rPr>
          <w:rFonts w:hint="eastAsia" w:ascii="宋体" w:hAnsi="宋体" w:eastAsia="宋体" w:cs="宋体"/>
          <w:color w:val="000000"/>
          <w:kern w:val="0"/>
          <w:szCs w:val="21"/>
        </w:rPr>
        <w:t>法定代表人或其委托代理人：（签字）</w:t>
      </w:r>
    </w:p>
    <w:p>
      <w:pPr>
        <w:autoSpaceDE w:val="0"/>
        <w:autoSpaceDN w:val="0"/>
        <w:adjustRightInd w:val="0"/>
        <w:spacing w:line="360" w:lineRule="auto"/>
        <w:jc w:val="left"/>
        <w:rPr>
          <w:rFonts w:ascii="宋体" w:hAnsi="宋体" w:eastAsia="宋体" w:cs="宋体"/>
          <w:color w:val="000000"/>
          <w:kern w:val="0"/>
          <w:szCs w:val="21"/>
          <w:u w:val="single"/>
        </w:rPr>
      </w:pPr>
      <w:r>
        <w:rPr>
          <w:rFonts w:hint="eastAsia" w:ascii="宋体" w:hAnsi="宋体" w:eastAsia="宋体" w:cs="宋体"/>
          <w:color w:val="000000"/>
          <w:kern w:val="0"/>
          <w:szCs w:val="21"/>
        </w:rPr>
        <w:t>地址：</w:t>
      </w:r>
    </w:p>
    <w:p>
      <w:pPr>
        <w:autoSpaceDE w:val="0"/>
        <w:autoSpaceDN w:val="0"/>
        <w:adjustRightInd w:val="0"/>
        <w:spacing w:line="360" w:lineRule="auto"/>
        <w:jc w:val="left"/>
        <w:rPr>
          <w:rFonts w:ascii="宋体" w:hAnsi="宋体" w:eastAsia="宋体" w:cs="宋体"/>
          <w:color w:val="000000"/>
          <w:kern w:val="0"/>
          <w:szCs w:val="21"/>
          <w:u w:val="single"/>
        </w:rPr>
      </w:pPr>
      <w:r>
        <w:rPr>
          <w:rFonts w:hint="eastAsia" w:ascii="宋体" w:hAnsi="宋体" w:eastAsia="宋体" w:cs="宋体"/>
          <w:color w:val="000000"/>
          <w:kern w:val="0"/>
          <w:szCs w:val="21"/>
        </w:rPr>
        <w:t>电话：</w:t>
      </w:r>
    </w:p>
    <w:p>
      <w:pPr>
        <w:autoSpaceDE w:val="0"/>
        <w:autoSpaceDN w:val="0"/>
        <w:adjustRightInd w:val="0"/>
        <w:spacing w:line="360" w:lineRule="auto"/>
        <w:jc w:val="left"/>
        <w:rPr>
          <w:rFonts w:ascii="宋体" w:hAnsi="宋体" w:eastAsia="宋体" w:cs="宋体"/>
          <w:color w:val="000000"/>
          <w:kern w:val="0"/>
          <w:szCs w:val="21"/>
          <w:u w:val="single"/>
        </w:rPr>
      </w:pPr>
      <w:r>
        <w:rPr>
          <w:rFonts w:hint="eastAsia" w:ascii="宋体" w:hAnsi="宋体" w:eastAsia="宋体" w:cs="宋体"/>
          <w:color w:val="000000"/>
          <w:kern w:val="0"/>
          <w:szCs w:val="21"/>
        </w:rPr>
        <w:t>传真：</w:t>
      </w:r>
    </w:p>
    <w:p>
      <w:pPr>
        <w:autoSpaceDE w:val="0"/>
        <w:autoSpaceDN w:val="0"/>
        <w:adjustRightInd w:val="0"/>
        <w:spacing w:line="360" w:lineRule="auto"/>
        <w:jc w:val="left"/>
        <w:rPr>
          <w:rFonts w:ascii="宋体" w:hAnsi="宋体" w:eastAsia="宋体" w:cs="宋体"/>
          <w:color w:val="000000"/>
          <w:kern w:val="0"/>
          <w:szCs w:val="21"/>
          <w:u w:val="single"/>
        </w:rPr>
      </w:pPr>
      <w:r>
        <w:rPr>
          <w:rFonts w:hint="eastAsia" w:ascii="宋体" w:hAnsi="宋体" w:eastAsia="宋体" w:cs="宋体"/>
          <w:color w:val="000000"/>
          <w:kern w:val="0"/>
          <w:szCs w:val="21"/>
        </w:rPr>
        <w:t>邮政编码：</w:t>
      </w:r>
    </w:p>
    <w:p>
      <w:pPr>
        <w:autoSpaceDE w:val="0"/>
        <w:autoSpaceDN w:val="0"/>
        <w:adjustRightInd w:val="0"/>
        <w:spacing w:line="360" w:lineRule="auto"/>
        <w:ind w:firstLine="2520" w:firstLineChars="1200"/>
        <w:jc w:val="center"/>
        <w:rPr>
          <w:rFonts w:ascii="宋体" w:hAnsi="宋体" w:eastAsia="宋体" w:cs="宋体"/>
          <w:color w:val="000000"/>
          <w:kern w:val="0"/>
          <w:szCs w:val="21"/>
        </w:rPr>
      </w:pPr>
      <w:r>
        <w:rPr>
          <w:rFonts w:hint="eastAsia" w:ascii="宋体" w:hAnsi="宋体" w:eastAsia="宋体" w:cs="宋体"/>
          <w:color w:val="000000"/>
          <w:kern w:val="0"/>
          <w:szCs w:val="21"/>
        </w:rPr>
        <w:t>____年_____ 月_____ 日</w:t>
      </w:r>
    </w:p>
    <w:p>
      <w:pPr>
        <w:tabs>
          <w:tab w:val="center" w:pos="4499"/>
        </w:tabs>
        <w:spacing w:line="400" w:lineRule="exact"/>
        <w:jc w:val="center"/>
        <w:rPr>
          <w:rFonts w:ascii="宋体" w:hAnsi="宋体" w:eastAsia="宋体" w:cs="宋体"/>
          <w:b/>
          <w:color w:val="000000"/>
          <w:szCs w:val="21"/>
        </w:rPr>
      </w:pPr>
    </w:p>
    <w:p>
      <w:pPr>
        <w:tabs>
          <w:tab w:val="center" w:pos="4499"/>
        </w:tabs>
        <w:spacing w:line="400" w:lineRule="exact"/>
        <w:rPr>
          <w:rFonts w:ascii="宋体" w:hAnsi="宋体" w:eastAsia="宋体" w:cs="宋体"/>
          <w:b/>
          <w:color w:val="000000"/>
          <w:szCs w:val="21"/>
        </w:rPr>
      </w:pPr>
    </w:p>
    <w:p>
      <w:pPr>
        <w:tabs>
          <w:tab w:val="center" w:pos="4499"/>
        </w:tabs>
        <w:spacing w:line="400" w:lineRule="exact"/>
        <w:rPr>
          <w:rFonts w:ascii="宋体" w:hAnsi="宋体" w:eastAsia="宋体" w:cs="宋体"/>
          <w:b/>
          <w:color w:val="000000"/>
          <w:szCs w:val="21"/>
        </w:rPr>
      </w:pPr>
    </w:p>
    <w:p>
      <w:pPr>
        <w:tabs>
          <w:tab w:val="center" w:pos="4499"/>
        </w:tabs>
        <w:spacing w:line="400" w:lineRule="exact"/>
        <w:rPr>
          <w:rFonts w:ascii="宋体" w:hAnsi="宋体" w:eastAsia="宋体" w:cs="宋体"/>
          <w:b/>
          <w:color w:val="000000"/>
          <w:szCs w:val="21"/>
        </w:rPr>
      </w:pPr>
    </w:p>
    <w:p>
      <w:pPr>
        <w:tabs>
          <w:tab w:val="center" w:pos="4499"/>
        </w:tabs>
        <w:spacing w:line="400" w:lineRule="exact"/>
        <w:rPr>
          <w:rFonts w:ascii="宋体" w:hAnsi="宋体" w:eastAsia="宋体" w:cs="宋体"/>
          <w:b/>
          <w:color w:val="000000"/>
          <w:szCs w:val="21"/>
        </w:rPr>
      </w:pPr>
    </w:p>
    <w:p>
      <w:pPr>
        <w:tabs>
          <w:tab w:val="center" w:pos="4499"/>
        </w:tabs>
        <w:spacing w:line="400" w:lineRule="exact"/>
        <w:rPr>
          <w:rFonts w:ascii="宋体" w:hAnsi="宋体" w:eastAsia="宋体" w:cs="宋体"/>
          <w:b/>
          <w:color w:val="000000"/>
          <w:szCs w:val="21"/>
        </w:rPr>
      </w:pPr>
    </w:p>
    <w:p>
      <w:pPr>
        <w:tabs>
          <w:tab w:val="center" w:pos="4499"/>
        </w:tabs>
        <w:spacing w:line="400" w:lineRule="exact"/>
        <w:rPr>
          <w:rFonts w:ascii="宋体" w:hAnsi="宋体" w:eastAsia="宋体" w:cs="宋体"/>
          <w:b/>
          <w:color w:val="000000"/>
          <w:szCs w:val="21"/>
        </w:rPr>
      </w:pPr>
    </w:p>
    <w:p>
      <w:pPr>
        <w:tabs>
          <w:tab w:val="center" w:pos="4499"/>
        </w:tabs>
        <w:spacing w:line="400" w:lineRule="exact"/>
        <w:rPr>
          <w:rFonts w:ascii="宋体" w:hAnsi="宋体" w:eastAsia="宋体" w:cs="宋体"/>
          <w:b/>
          <w:color w:val="000000"/>
          <w:szCs w:val="21"/>
        </w:rPr>
      </w:pPr>
    </w:p>
    <w:p>
      <w:pPr>
        <w:tabs>
          <w:tab w:val="center" w:pos="4499"/>
        </w:tabs>
        <w:spacing w:line="400" w:lineRule="exact"/>
        <w:rPr>
          <w:rFonts w:ascii="宋体" w:hAnsi="宋体" w:eastAsia="宋体" w:cs="宋体"/>
          <w:b/>
          <w:color w:val="000000"/>
          <w:szCs w:val="21"/>
        </w:rPr>
      </w:pPr>
      <w:bookmarkStart w:id="123" w:name="_Hlk528843467"/>
    </w:p>
    <w:p>
      <w:pPr>
        <w:tabs>
          <w:tab w:val="center" w:pos="4499"/>
        </w:tabs>
        <w:spacing w:line="400" w:lineRule="exact"/>
        <w:jc w:val="center"/>
        <w:rPr>
          <w:rFonts w:ascii="宋体" w:hAnsi="宋体" w:eastAsia="宋体" w:cs="宋体"/>
          <w:b/>
          <w:color w:val="000000"/>
          <w:szCs w:val="21"/>
        </w:rPr>
      </w:pPr>
      <w:r>
        <w:rPr>
          <w:rFonts w:hint="eastAsia" w:ascii="宋体" w:hAnsi="宋体" w:eastAsia="宋体" w:cs="宋体"/>
          <w:b/>
          <w:color w:val="000000"/>
          <w:szCs w:val="21"/>
        </w:rPr>
        <w:t xml:space="preserve"> 二、谈判函附录</w:t>
      </w:r>
    </w:p>
    <w:p>
      <w:pPr>
        <w:tabs>
          <w:tab w:val="center" w:pos="4499"/>
        </w:tabs>
        <w:spacing w:line="400" w:lineRule="exact"/>
        <w:jc w:val="center"/>
        <w:rPr>
          <w:rFonts w:ascii="宋体" w:hAnsi="宋体" w:eastAsia="宋体" w:cs="宋体"/>
          <w:b/>
          <w:color w:val="000000"/>
          <w:szCs w:val="21"/>
        </w:rPr>
      </w:pPr>
    </w:p>
    <w:tbl>
      <w:tblPr>
        <w:tblStyle w:val="21"/>
        <w:tblW w:w="91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0"/>
        <w:gridCol w:w="6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3" w:hRule="atLeast"/>
          <w:jc w:val="center"/>
        </w:trPr>
        <w:tc>
          <w:tcPr>
            <w:tcW w:w="29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项目名称</w:t>
            </w:r>
          </w:p>
        </w:tc>
        <w:tc>
          <w:tcPr>
            <w:tcW w:w="61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0" w:hRule="atLeast"/>
          <w:jc w:val="center"/>
        </w:trPr>
        <w:tc>
          <w:tcPr>
            <w:tcW w:w="29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谈判人名称</w:t>
            </w:r>
          </w:p>
        </w:tc>
        <w:tc>
          <w:tcPr>
            <w:tcW w:w="61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8" w:hRule="atLeast"/>
          <w:jc w:val="center"/>
        </w:trPr>
        <w:tc>
          <w:tcPr>
            <w:tcW w:w="29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谈判报价</w:t>
            </w:r>
          </w:p>
        </w:tc>
        <w:tc>
          <w:tcPr>
            <w:tcW w:w="61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color w:val="000000"/>
                <w:szCs w:val="21"/>
              </w:rPr>
            </w:pPr>
            <w:r>
              <w:rPr>
                <w:rFonts w:hint="eastAsia" w:ascii="宋体" w:hAnsi="宋体" w:eastAsia="宋体" w:cs="宋体"/>
                <w:color w:val="000000"/>
                <w:szCs w:val="21"/>
              </w:rPr>
              <w:t>大写：</w:t>
            </w:r>
          </w:p>
          <w:p>
            <w:pPr>
              <w:spacing w:line="360" w:lineRule="auto"/>
              <w:rPr>
                <w:rFonts w:ascii="宋体" w:hAnsi="宋体" w:eastAsia="宋体" w:cs="宋体"/>
                <w:color w:val="000000"/>
                <w:szCs w:val="21"/>
              </w:rPr>
            </w:pPr>
            <w:r>
              <w:rPr>
                <w:rFonts w:hint="eastAsia" w:ascii="宋体" w:hAnsi="宋体" w:eastAsia="宋体" w:cs="宋体"/>
                <w:color w:val="000000"/>
                <w:szCs w:val="21"/>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1" w:hRule="atLeast"/>
          <w:jc w:val="center"/>
        </w:trPr>
        <w:tc>
          <w:tcPr>
            <w:tcW w:w="29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质量</w:t>
            </w:r>
          </w:p>
        </w:tc>
        <w:tc>
          <w:tcPr>
            <w:tcW w:w="61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1" w:hRule="atLeast"/>
          <w:jc w:val="center"/>
        </w:trPr>
        <w:tc>
          <w:tcPr>
            <w:tcW w:w="29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交货期</w:t>
            </w:r>
          </w:p>
        </w:tc>
        <w:tc>
          <w:tcPr>
            <w:tcW w:w="61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8" w:hRule="atLeast"/>
          <w:jc w:val="center"/>
        </w:trPr>
        <w:tc>
          <w:tcPr>
            <w:tcW w:w="29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质保期</w:t>
            </w:r>
          </w:p>
        </w:tc>
        <w:tc>
          <w:tcPr>
            <w:tcW w:w="61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0" w:hRule="atLeast"/>
          <w:jc w:val="center"/>
        </w:trPr>
        <w:tc>
          <w:tcPr>
            <w:tcW w:w="29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其它补充说明</w:t>
            </w:r>
          </w:p>
        </w:tc>
        <w:tc>
          <w:tcPr>
            <w:tcW w:w="61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eastAsia="宋体" w:cs="宋体"/>
                <w:color w:val="000000"/>
                <w:szCs w:val="21"/>
                <w:u w:val="single"/>
              </w:rPr>
            </w:pPr>
          </w:p>
        </w:tc>
      </w:tr>
    </w:tbl>
    <w:p>
      <w:pPr>
        <w:spacing w:line="360" w:lineRule="auto"/>
        <w:jc w:val="left"/>
        <w:rPr>
          <w:rFonts w:ascii="宋体" w:hAnsi="宋体" w:eastAsia="宋体" w:cs="宋体"/>
          <w:bCs/>
          <w:color w:val="000000"/>
          <w:szCs w:val="21"/>
        </w:rPr>
      </w:pPr>
    </w:p>
    <w:p>
      <w:pPr>
        <w:spacing w:line="360" w:lineRule="auto"/>
        <w:ind w:firstLine="1365" w:firstLineChars="650"/>
        <w:rPr>
          <w:rFonts w:ascii="宋体" w:hAnsi="宋体" w:eastAsia="宋体" w:cs="宋体"/>
          <w:color w:val="000000"/>
          <w:szCs w:val="21"/>
        </w:rPr>
      </w:pPr>
      <w:r>
        <w:rPr>
          <w:rFonts w:hint="eastAsia" w:ascii="宋体" w:hAnsi="宋体" w:eastAsia="宋体" w:cs="宋体"/>
          <w:color w:val="000000"/>
          <w:szCs w:val="21"/>
        </w:rPr>
        <w:t xml:space="preserve">                      投  标  人：</w:t>
      </w:r>
      <w:r>
        <w:rPr>
          <w:rFonts w:hint="eastAsia" w:ascii="宋体" w:hAnsi="宋体" w:eastAsia="宋体" w:cs="宋体"/>
          <w:color w:val="000000"/>
          <w:szCs w:val="21"/>
          <w:u w:val="single"/>
        </w:rPr>
        <w:t xml:space="preserve">                     (盖章)       </w:t>
      </w:r>
    </w:p>
    <w:p>
      <w:pPr>
        <w:spacing w:line="360" w:lineRule="auto"/>
        <w:ind w:firstLine="3675" w:firstLineChars="1750"/>
        <w:jc w:val="left"/>
        <w:rPr>
          <w:rFonts w:ascii="宋体" w:hAnsi="宋体" w:eastAsia="宋体" w:cs="宋体"/>
          <w:color w:val="000000"/>
          <w:szCs w:val="21"/>
        </w:rPr>
      </w:pPr>
      <w:r>
        <w:rPr>
          <w:rFonts w:hint="eastAsia" w:ascii="宋体" w:hAnsi="宋体" w:eastAsia="宋体" w:cs="宋体"/>
          <w:color w:val="000000"/>
          <w:szCs w:val="21"/>
        </w:rPr>
        <w:t>法定代表人或授权委托人（签字或盖章）：</w:t>
      </w:r>
    </w:p>
    <w:p>
      <w:pPr>
        <w:spacing w:line="360" w:lineRule="auto"/>
        <w:jc w:val="left"/>
        <w:rPr>
          <w:rFonts w:ascii="宋体" w:hAnsi="宋体" w:eastAsia="宋体" w:cs="宋体"/>
          <w:color w:val="000000"/>
          <w:szCs w:val="21"/>
        </w:rPr>
      </w:pPr>
    </w:p>
    <w:p>
      <w:pPr>
        <w:spacing w:line="400" w:lineRule="exact"/>
        <w:ind w:firstLine="630" w:firstLineChars="300"/>
        <w:jc w:val="center"/>
        <w:rPr>
          <w:rFonts w:ascii="宋体" w:hAnsi="宋体" w:eastAsia="宋体" w:cs="宋体"/>
          <w:color w:val="000000"/>
          <w:szCs w:val="21"/>
        </w:rPr>
      </w:pPr>
      <w:r>
        <w:rPr>
          <w:rFonts w:hint="eastAsia" w:ascii="宋体" w:hAnsi="宋体" w:eastAsia="宋体" w:cs="宋体"/>
          <w:color w:val="000000"/>
          <w:szCs w:val="21"/>
        </w:rPr>
        <w:t xml:space="preserve">                 日     期 ： 年月日 </w:t>
      </w:r>
    </w:p>
    <w:bookmarkEnd w:id="123"/>
    <w:p>
      <w:pPr>
        <w:spacing w:line="360" w:lineRule="auto"/>
        <w:outlineLvl w:val="1"/>
        <w:rPr>
          <w:rFonts w:ascii="宋体" w:hAnsi="宋体" w:eastAsia="宋体" w:cs="宋体"/>
          <w:b/>
          <w:color w:val="000000"/>
          <w:szCs w:val="21"/>
        </w:rPr>
      </w:pPr>
      <w:bookmarkStart w:id="124" w:name="_Toc31072"/>
    </w:p>
    <w:p>
      <w:pPr>
        <w:spacing w:line="360" w:lineRule="auto"/>
        <w:jc w:val="center"/>
        <w:outlineLvl w:val="1"/>
        <w:rPr>
          <w:rFonts w:ascii="宋体" w:hAnsi="宋体" w:eastAsia="宋体" w:cs="宋体"/>
          <w:b/>
          <w:color w:val="000000"/>
          <w:szCs w:val="21"/>
        </w:rPr>
      </w:pPr>
      <w:bookmarkStart w:id="125" w:name="_Hlk528843486"/>
    </w:p>
    <w:p>
      <w:pPr>
        <w:spacing w:line="360" w:lineRule="auto"/>
        <w:jc w:val="center"/>
        <w:outlineLvl w:val="1"/>
        <w:rPr>
          <w:rFonts w:ascii="宋体" w:hAnsi="宋体" w:eastAsia="宋体" w:cs="宋体"/>
          <w:b/>
          <w:color w:val="000000"/>
          <w:szCs w:val="21"/>
        </w:rPr>
      </w:pPr>
    </w:p>
    <w:p>
      <w:pPr>
        <w:spacing w:line="360" w:lineRule="auto"/>
        <w:jc w:val="center"/>
        <w:outlineLvl w:val="1"/>
        <w:rPr>
          <w:rFonts w:ascii="宋体" w:hAnsi="宋体" w:eastAsia="宋体" w:cs="宋体"/>
          <w:b/>
          <w:color w:val="000000"/>
          <w:szCs w:val="21"/>
        </w:rPr>
      </w:pPr>
      <w:bookmarkStart w:id="126" w:name="_Toc31648118"/>
      <w:r>
        <w:rPr>
          <w:rFonts w:hint="eastAsia" w:ascii="宋体" w:hAnsi="宋体" w:eastAsia="宋体" w:cs="宋体"/>
          <w:b/>
          <w:color w:val="000000"/>
          <w:szCs w:val="21"/>
        </w:rPr>
        <w:t>三、法定代表人资格证明书</w:t>
      </w:r>
      <w:bookmarkEnd w:id="124"/>
      <w:bookmarkEnd w:id="126"/>
    </w:p>
    <w:p>
      <w:pPr>
        <w:spacing w:line="360" w:lineRule="auto"/>
        <w:rPr>
          <w:rFonts w:ascii="宋体" w:hAnsi="宋体" w:eastAsia="宋体" w:cs="宋体"/>
          <w:b/>
          <w:color w:val="000000"/>
          <w:szCs w:val="21"/>
        </w:rPr>
      </w:pPr>
    </w:p>
    <w:p>
      <w:pPr>
        <w:spacing w:line="360" w:lineRule="auto"/>
        <w:jc w:val="center"/>
        <w:rPr>
          <w:rFonts w:ascii="宋体" w:hAnsi="宋体" w:eastAsia="宋体" w:cs="宋体"/>
          <w:color w:val="000000"/>
          <w:szCs w:val="21"/>
        </w:rPr>
      </w:pPr>
    </w:p>
    <w:p>
      <w:pPr>
        <w:spacing w:line="360" w:lineRule="auto"/>
        <w:ind w:firstLine="428" w:firstLineChars="204"/>
        <w:jc w:val="left"/>
        <w:rPr>
          <w:rFonts w:ascii="宋体" w:hAnsi="宋体" w:eastAsia="宋体" w:cs="宋体"/>
          <w:color w:val="000000"/>
          <w:szCs w:val="21"/>
          <w:u w:val="single"/>
        </w:rPr>
      </w:pPr>
      <w:r>
        <w:rPr>
          <w:rFonts w:hint="eastAsia" w:ascii="宋体" w:hAnsi="宋体" w:eastAsia="宋体" w:cs="宋体"/>
          <w:color w:val="000000"/>
          <w:szCs w:val="21"/>
        </w:rPr>
        <w:t>单位名称：</w:t>
      </w:r>
    </w:p>
    <w:p>
      <w:pPr>
        <w:spacing w:line="360" w:lineRule="auto"/>
        <w:ind w:firstLine="428" w:firstLineChars="204"/>
        <w:jc w:val="left"/>
        <w:rPr>
          <w:rFonts w:ascii="宋体" w:hAnsi="宋体" w:eastAsia="宋体" w:cs="宋体"/>
          <w:color w:val="000000"/>
          <w:szCs w:val="21"/>
        </w:rPr>
      </w:pPr>
      <w:r>
        <w:rPr>
          <w:rFonts w:hint="eastAsia" w:ascii="宋体" w:hAnsi="宋体" w:eastAsia="宋体" w:cs="宋体"/>
          <w:color w:val="000000"/>
          <w:szCs w:val="21"/>
        </w:rPr>
        <w:t>地    址：</w:t>
      </w:r>
    </w:p>
    <w:p>
      <w:pPr>
        <w:spacing w:line="360" w:lineRule="auto"/>
        <w:ind w:firstLine="428" w:firstLineChars="204"/>
        <w:jc w:val="left"/>
        <w:rPr>
          <w:rFonts w:ascii="宋体" w:hAnsi="宋体" w:eastAsia="宋体" w:cs="宋体"/>
          <w:color w:val="000000"/>
          <w:szCs w:val="21"/>
        </w:rPr>
      </w:pPr>
      <w:r>
        <w:rPr>
          <w:rFonts w:hint="eastAsia" w:ascii="宋体" w:hAnsi="宋体" w:eastAsia="宋体" w:cs="宋体"/>
          <w:color w:val="000000"/>
          <w:szCs w:val="21"/>
        </w:rPr>
        <w:t>姓名：（签字）   性别：年龄： 职务:</w:t>
      </w:r>
    </w:p>
    <w:p>
      <w:pPr>
        <w:spacing w:line="360" w:lineRule="auto"/>
        <w:ind w:firstLine="428" w:firstLineChars="204"/>
        <w:jc w:val="left"/>
        <w:rPr>
          <w:rFonts w:ascii="宋体" w:hAnsi="宋体" w:eastAsia="宋体" w:cs="宋体"/>
          <w:color w:val="000000"/>
          <w:szCs w:val="21"/>
        </w:rPr>
      </w:pPr>
      <w:r>
        <w:rPr>
          <w:rFonts w:hint="eastAsia" w:ascii="宋体" w:hAnsi="宋体" w:eastAsia="宋体" w:cs="宋体"/>
          <w:color w:val="000000"/>
          <w:szCs w:val="21"/>
        </w:rPr>
        <w:t>系           (投标单位)的法定代表人。为签署此投标文件、进行合同谈判、签署合同和处理与之有关的一切事物。</w:t>
      </w:r>
    </w:p>
    <w:p>
      <w:pPr>
        <w:spacing w:line="360" w:lineRule="auto"/>
        <w:ind w:firstLine="428" w:firstLineChars="204"/>
        <w:jc w:val="left"/>
        <w:rPr>
          <w:rFonts w:ascii="宋体" w:hAnsi="宋体" w:eastAsia="宋体" w:cs="宋体"/>
          <w:color w:val="000000"/>
          <w:szCs w:val="21"/>
        </w:rPr>
      </w:pPr>
      <w:r>
        <w:rPr>
          <w:rFonts w:hint="eastAsia" w:ascii="宋体" w:hAnsi="宋体" w:eastAsia="宋体" w:cs="宋体"/>
          <w:color w:val="000000"/>
          <w:szCs w:val="21"/>
        </w:rPr>
        <w:t>特此证明。</w:t>
      </w:r>
    </w:p>
    <w:p>
      <w:pPr>
        <w:spacing w:line="360" w:lineRule="auto"/>
        <w:ind w:firstLine="430" w:firstLineChars="204"/>
        <w:jc w:val="left"/>
        <w:rPr>
          <w:rFonts w:ascii="宋体" w:hAnsi="宋体" w:eastAsia="宋体" w:cs="宋体"/>
          <w:b/>
          <w:color w:val="000000"/>
          <w:szCs w:val="21"/>
          <w:u w:val="single"/>
        </w:rPr>
      </w:pPr>
      <w:r>
        <w:rPr>
          <w:rFonts w:hint="eastAsia" w:ascii="宋体" w:hAnsi="宋体" w:eastAsia="宋体" w:cs="宋体"/>
          <w:b/>
          <w:color w:val="000000"/>
          <w:szCs w:val="21"/>
          <w:u w:val="single"/>
        </w:rPr>
        <w:t>此处附：法定代表人身份证并加盖公章</w:t>
      </w:r>
    </w:p>
    <w:p>
      <w:pPr>
        <w:spacing w:line="360" w:lineRule="auto"/>
        <w:ind w:firstLine="428" w:firstLineChars="204"/>
        <w:jc w:val="left"/>
        <w:rPr>
          <w:rFonts w:ascii="宋体" w:hAnsi="宋体" w:eastAsia="宋体" w:cs="宋体"/>
          <w:color w:val="000000"/>
          <w:szCs w:val="21"/>
        </w:rPr>
      </w:pPr>
    </w:p>
    <w:p>
      <w:pPr>
        <w:spacing w:line="360" w:lineRule="auto"/>
        <w:ind w:firstLine="428" w:firstLineChars="204"/>
        <w:jc w:val="left"/>
        <w:rPr>
          <w:rFonts w:ascii="宋体" w:hAnsi="宋体" w:eastAsia="宋体" w:cs="宋体"/>
          <w:color w:val="000000"/>
          <w:szCs w:val="21"/>
        </w:rPr>
      </w:pPr>
    </w:p>
    <w:p>
      <w:pPr>
        <w:spacing w:line="360" w:lineRule="auto"/>
        <w:ind w:firstLine="428" w:firstLineChars="204"/>
        <w:jc w:val="left"/>
        <w:rPr>
          <w:rFonts w:ascii="宋体" w:hAnsi="宋体" w:eastAsia="宋体" w:cs="宋体"/>
          <w:color w:val="000000"/>
          <w:szCs w:val="21"/>
        </w:rPr>
      </w:pPr>
    </w:p>
    <w:p>
      <w:pPr>
        <w:spacing w:line="360" w:lineRule="auto"/>
        <w:ind w:firstLine="428" w:firstLineChars="204"/>
        <w:jc w:val="left"/>
        <w:rPr>
          <w:rFonts w:ascii="宋体" w:hAnsi="宋体" w:eastAsia="宋体" w:cs="宋体"/>
          <w:color w:val="000000"/>
          <w:szCs w:val="21"/>
        </w:rPr>
      </w:pPr>
    </w:p>
    <w:p>
      <w:pPr>
        <w:spacing w:line="360" w:lineRule="auto"/>
        <w:ind w:firstLine="428" w:firstLineChars="204"/>
        <w:jc w:val="left"/>
        <w:rPr>
          <w:rFonts w:ascii="宋体" w:hAnsi="宋体" w:eastAsia="宋体" w:cs="宋体"/>
          <w:color w:val="000000"/>
          <w:szCs w:val="21"/>
        </w:rPr>
      </w:pPr>
    </w:p>
    <w:p>
      <w:pPr>
        <w:spacing w:line="360" w:lineRule="auto"/>
        <w:ind w:firstLine="428" w:firstLineChars="204"/>
        <w:jc w:val="left"/>
        <w:rPr>
          <w:rFonts w:ascii="宋体" w:hAnsi="宋体" w:eastAsia="宋体" w:cs="宋体"/>
          <w:color w:val="000000"/>
          <w:szCs w:val="21"/>
        </w:rPr>
      </w:pPr>
    </w:p>
    <w:p>
      <w:pPr>
        <w:spacing w:line="360" w:lineRule="auto"/>
        <w:jc w:val="center"/>
        <w:rPr>
          <w:rFonts w:ascii="宋体" w:hAnsi="宋体" w:eastAsia="宋体" w:cs="宋体"/>
          <w:color w:val="000000"/>
          <w:szCs w:val="21"/>
        </w:rPr>
      </w:pPr>
      <w:bookmarkStart w:id="127" w:name="_Hlk528843545"/>
    </w:p>
    <w:p>
      <w:pPr>
        <w:spacing w:line="360" w:lineRule="auto"/>
        <w:jc w:val="center"/>
        <w:rPr>
          <w:rFonts w:ascii="宋体" w:hAnsi="宋体" w:eastAsia="宋体" w:cs="宋体"/>
          <w:color w:val="000000"/>
          <w:szCs w:val="21"/>
          <w:u w:val="single"/>
        </w:rPr>
      </w:pPr>
      <w:r>
        <w:rPr>
          <w:rFonts w:hint="eastAsia" w:ascii="宋体" w:hAnsi="宋体" w:eastAsia="宋体" w:cs="宋体"/>
          <w:color w:val="000000"/>
          <w:szCs w:val="21"/>
        </w:rPr>
        <w:t xml:space="preserve">                      投  标  人：(盖章)       </w:t>
      </w:r>
    </w:p>
    <w:p>
      <w:pPr>
        <w:spacing w:line="360" w:lineRule="auto"/>
        <w:jc w:val="center"/>
        <w:rPr>
          <w:rFonts w:ascii="宋体" w:hAnsi="宋体" w:eastAsia="宋体" w:cs="宋体"/>
          <w:color w:val="000000"/>
          <w:szCs w:val="21"/>
        </w:rPr>
      </w:pPr>
    </w:p>
    <w:p>
      <w:pPr>
        <w:spacing w:line="360" w:lineRule="auto"/>
        <w:ind w:firstLine="3570" w:firstLineChars="1700"/>
        <w:jc w:val="left"/>
        <w:rPr>
          <w:rFonts w:ascii="宋体" w:hAnsi="宋体" w:eastAsia="宋体" w:cs="宋体"/>
          <w:color w:val="000000"/>
          <w:szCs w:val="21"/>
          <w:u w:val="single"/>
        </w:rPr>
      </w:pPr>
      <w:r>
        <w:rPr>
          <w:rFonts w:hint="eastAsia" w:ascii="宋体" w:hAnsi="宋体" w:eastAsia="宋体" w:cs="宋体"/>
          <w:color w:val="000000"/>
          <w:szCs w:val="21"/>
        </w:rPr>
        <w:t>法定代表人（签字或盖章）：</w:t>
      </w:r>
    </w:p>
    <w:p>
      <w:pPr>
        <w:spacing w:line="360" w:lineRule="auto"/>
        <w:jc w:val="left"/>
        <w:rPr>
          <w:rFonts w:ascii="宋体" w:hAnsi="宋体" w:eastAsia="宋体" w:cs="宋体"/>
          <w:color w:val="000000"/>
          <w:szCs w:val="21"/>
        </w:rPr>
      </w:pPr>
    </w:p>
    <w:p>
      <w:pPr>
        <w:spacing w:line="400" w:lineRule="exact"/>
        <w:ind w:left="420"/>
        <w:jc w:val="center"/>
        <w:rPr>
          <w:rFonts w:ascii="宋体" w:hAnsi="宋体" w:eastAsia="宋体" w:cs="宋体"/>
          <w:b/>
          <w:color w:val="000000"/>
          <w:szCs w:val="21"/>
        </w:rPr>
      </w:pPr>
      <w:r>
        <w:rPr>
          <w:rFonts w:hint="eastAsia" w:ascii="宋体" w:hAnsi="宋体" w:eastAsia="宋体" w:cs="宋体"/>
          <w:color w:val="000000"/>
          <w:szCs w:val="21"/>
        </w:rPr>
        <w:t xml:space="preserve">                  日     期 ：  年  月 日</w:t>
      </w:r>
      <w:bookmarkEnd w:id="125"/>
      <w:bookmarkEnd w:id="127"/>
      <w:r>
        <w:rPr>
          <w:rFonts w:hint="eastAsia" w:ascii="宋体" w:hAnsi="宋体" w:eastAsia="宋体" w:cs="宋体"/>
          <w:b/>
          <w:color w:val="000000"/>
          <w:szCs w:val="21"/>
        </w:rPr>
        <w:br w:type="page"/>
      </w:r>
    </w:p>
    <w:p>
      <w:pPr>
        <w:spacing w:line="400" w:lineRule="exact"/>
        <w:ind w:left="420"/>
        <w:jc w:val="center"/>
        <w:outlineLvl w:val="1"/>
        <w:rPr>
          <w:rFonts w:ascii="宋体" w:hAnsi="宋体" w:eastAsia="宋体" w:cs="宋体"/>
          <w:b/>
          <w:color w:val="000000"/>
          <w:szCs w:val="21"/>
        </w:rPr>
      </w:pPr>
      <w:bookmarkStart w:id="128" w:name="_Toc30314"/>
      <w:bookmarkStart w:id="129" w:name="_Toc31648119"/>
      <w:bookmarkStart w:id="130" w:name="_Hlk528843573"/>
      <w:r>
        <w:rPr>
          <w:rFonts w:hint="eastAsia" w:ascii="宋体" w:hAnsi="宋体" w:eastAsia="宋体" w:cs="宋体"/>
          <w:b/>
          <w:color w:val="000000"/>
          <w:szCs w:val="21"/>
        </w:rPr>
        <w:t>四、法定代表人授权委托书</w:t>
      </w:r>
      <w:bookmarkEnd w:id="128"/>
      <w:bookmarkEnd w:id="129"/>
    </w:p>
    <w:p>
      <w:pPr>
        <w:spacing w:line="400" w:lineRule="exact"/>
        <w:jc w:val="center"/>
        <w:rPr>
          <w:rFonts w:ascii="宋体" w:hAnsi="宋体" w:eastAsia="宋体" w:cs="宋体"/>
          <w:color w:val="000000"/>
          <w:szCs w:val="21"/>
        </w:rPr>
      </w:pPr>
    </w:p>
    <w:p>
      <w:pPr>
        <w:spacing w:line="360" w:lineRule="auto"/>
        <w:ind w:left="105" w:leftChars="50" w:firstLine="336" w:firstLineChars="160"/>
        <w:jc w:val="left"/>
        <w:rPr>
          <w:rFonts w:ascii="宋体" w:hAnsi="宋体" w:eastAsia="宋体" w:cs="宋体"/>
          <w:color w:val="000000"/>
          <w:szCs w:val="21"/>
        </w:rPr>
      </w:pPr>
      <w:r>
        <w:rPr>
          <w:rFonts w:hint="eastAsia" w:ascii="宋体" w:hAnsi="宋体" w:eastAsia="宋体" w:cs="宋体"/>
          <w:color w:val="000000"/>
          <w:szCs w:val="21"/>
        </w:rPr>
        <w:t xml:space="preserve">本授权委托书声明：我  （姓名）系   （谈判人名称）的法定代表人，现授权委托     (单位名称)的（姓名）为我公司签署此已递交的投标文件的法定代表人的授权委托代理人，代理人全权代表我所签署的此已递交的投标文件内容我均承认。 </w:t>
      </w:r>
    </w:p>
    <w:p>
      <w:pPr>
        <w:spacing w:line="360" w:lineRule="auto"/>
        <w:ind w:firstLine="441" w:firstLineChars="210"/>
        <w:jc w:val="left"/>
        <w:rPr>
          <w:rFonts w:ascii="宋体" w:hAnsi="宋体" w:eastAsia="宋体" w:cs="宋体"/>
          <w:color w:val="000000"/>
          <w:szCs w:val="21"/>
        </w:rPr>
      </w:pPr>
      <w:r>
        <w:rPr>
          <w:rFonts w:hint="eastAsia" w:ascii="宋体" w:hAnsi="宋体" w:eastAsia="宋体" w:cs="宋体"/>
          <w:color w:val="000000"/>
          <w:szCs w:val="21"/>
        </w:rPr>
        <w:t>委托期限：</w:t>
      </w:r>
    </w:p>
    <w:p>
      <w:pPr>
        <w:spacing w:line="360" w:lineRule="auto"/>
        <w:ind w:firstLine="472" w:firstLineChars="225"/>
        <w:jc w:val="left"/>
        <w:rPr>
          <w:rFonts w:ascii="宋体" w:hAnsi="宋体" w:eastAsia="宋体" w:cs="宋体"/>
          <w:color w:val="000000"/>
          <w:szCs w:val="21"/>
        </w:rPr>
      </w:pPr>
      <w:r>
        <w:rPr>
          <w:rFonts w:hint="eastAsia" w:ascii="宋体" w:hAnsi="宋体" w:eastAsia="宋体" w:cs="宋体"/>
          <w:color w:val="000000"/>
          <w:szCs w:val="21"/>
        </w:rPr>
        <w:t>代理人无转委托权，特此委托。</w:t>
      </w:r>
    </w:p>
    <w:p>
      <w:pPr>
        <w:spacing w:line="360" w:lineRule="auto"/>
        <w:ind w:firstLine="474" w:firstLineChars="225"/>
        <w:jc w:val="left"/>
        <w:rPr>
          <w:rFonts w:ascii="宋体" w:hAnsi="宋体" w:eastAsia="宋体" w:cs="宋体"/>
          <w:color w:val="000000"/>
          <w:szCs w:val="21"/>
        </w:rPr>
      </w:pPr>
      <w:r>
        <w:rPr>
          <w:rFonts w:hint="eastAsia" w:ascii="宋体" w:hAnsi="宋体" w:eastAsia="宋体" w:cs="宋体"/>
          <w:b/>
          <w:color w:val="000000"/>
          <w:szCs w:val="21"/>
          <w:u w:val="single"/>
        </w:rPr>
        <w:t>此处附：法定代表人和授权委托人身份证并加盖公章</w:t>
      </w:r>
    </w:p>
    <w:p>
      <w:pPr>
        <w:spacing w:line="360" w:lineRule="auto"/>
        <w:ind w:firstLine="472" w:firstLineChars="225"/>
        <w:jc w:val="left"/>
        <w:rPr>
          <w:rFonts w:ascii="宋体" w:hAnsi="宋体" w:eastAsia="宋体" w:cs="宋体"/>
          <w:color w:val="000000"/>
          <w:szCs w:val="21"/>
        </w:rPr>
      </w:pPr>
    </w:p>
    <w:p>
      <w:pPr>
        <w:spacing w:line="360" w:lineRule="auto"/>
        <w:ind w:firstLine="472" w:firstLineChars="225"/>
        <w:jc w:val="left"/>
        <w:rPr>
          <w:rFonts w:ascii="宋体" w:hAnsi="宋体" w:eastAsia="宋体" w:cs="宋体"/>
          <w:color w:val="000000"/>
          <w:szCs w:val="21"/>
        </w:rPr>
      </w:pPr>
    </w:p>
    <w:p>
      <w:pPr>
        <w:spacing w:line="360" w:lineRule="auto"/>
        <w:rPr>
          <w:rFonts w:ascii="宋体" w:hAnsi="宋体" w:eastAsia="宋体" w:cs="宋体"/>
          <w:color w:val="000000"/>
          <w:szCs w:val="21"/>
        </w:rPr>
      </w:pPr>
    </w:p>
    <w:p>
      <w:pPr>
        <w:spacing w:line="360" w:lineRule="auto"/>
        <w:rPr>
          <w:rFonts w:ascii="宋体" w:hAnsi="宋体" w:eastAsia="宋体" w:cs="宋体"/>
          <w:color w:val="000000"/>
          <w:szCs w:val="21"/>
        </w:rPr>
      </w:pPr>
    </w:p>
    <w:p>
      <w:pPr>
        <w:spacing w:line="360" w:lineRule="auto"/>
        <w:rPr>
          <w:rFonts w:ascii="宋体" w:hAnsi="宋体" w:eastAsia="宋体" w:cs="宋体"/>
          <w:color w:val="000000"/>
          <w:szCs w:val="21"/>
        </w:rPr>
      </w:pPr>
    </w:p>
    <w:p>
      <w:pPr>
        <w:spacing w:line="360" w:lineRule="auto"/>
        <w:rPr>
          <w:rFonts w:ascii="宋体" w:hAnsi="宋体" w:eastAsia="宋体" w:cs="宋体"/>
          <w:color w:val="000000"/>
          <w:szCs w:val="21"/>
        </w:rPr>
      </w:pPr>
    </w:p>
    <w:p>
      <w:pPr>
        <w:spacing w:line="360" w:lineRule="auto"/>
        <w:rPr>
          <w:rFonts w:ascii="宋体" w:hAnsi="宋体" w:eastAsia="宋体" w:cs="宋体"/>
          <w:color w:val="000000"/>
          <w:szCs w:val="21"/>
        </w:rPr>
      </w:pPr>
    </w:p>
    <w:p>
      <w:pPr>
        <w:spacing w:line="500" w:lineRule="exact"/>
        <w:ind w:firstLine="540"/>
        <w:jc w:val="center"/>
        <w:rPr>
          <w:rFonts w:ascii="宋体" w:hAnsi="宋体" w:eastAsia="宋体" w:cs="宋体"/>
          <w:color w:val="000000"/>
          <w:szCs w:val="21"/>
        </w:rPr>
      </w:pPr>
      <w:r>
        <w:rPr>
          <w:rFonts w:hint="eastAsia" w:ascii="宋体" w:hAnsi="宋体" w:eastAsia="宋体" w:cs="宋体"/>
          <w:color w:val="000000"/>
          <w:szCs w:val="21"/>
        </w:rPr>
        <w:t xml:space="preserve">                             投  标  人：</w:t>
      </w:r>
      <w:r>
        <w:rPr>
          <w:rFonts w:hint="eastAsia" w:ascii="宋体" w:hAnsi="宋体" w:eastAsia="宋体" w:cs="宋体"/>
          <w:color w:val="000000"/>
          <w:szCs w:val="21"/>
          <w:u w:val="single"/>
        </w:rPr>
        <w:t xml:space="preserve">                  (盖章)  </w:t>
      </w:r>
    </w:p>
    <w:p>
      <w:pPr>
        <w:spacing w:line="500" w:lineRule="exact"/>
        <w:ind w:firstLine="540"/>
        <w:jc w:val="left"/>
        <w:rPr>
          <w:rFonts w:ascii="宋体" w:hAnsi="宋体" w:eastAsia="宋体" w:cs="宋体"/>
          <w:color w:val="000000"/>
          <w:szCs w:val="21"/>
        </w:rPr>
      </w:pPr>
      <w:r>
        <w:rPr>
          <w:rFonts w:hint="eastAsia" w:ascii="宋体" w:hAnsi="宋体" w:eastAsia="宋体" w:cs="宋体"/>
          <w:color w:val="000000"/>
          <w:szCs w:val="21"/>
        </w:rPr>
        <w:t xml:space="preserve">                                 法定代表人（签字 ）：</w:t>
      </w:r>
    </w:p>
    <w:p>
      <w:pPr>
        <w:spacing w:line="500" w:lineRule="exact"/>
        <w:ind w:firstLine="540"/>
        <w:jc w:val="center"/>
        <w:rPr>
          <w:rFonts w:ascii="宋体" w:hAnsi="宋体" w:eastAsia="宋体" w:cs="宋体"/>
          <w:color w:val="000000"/>
          <w:szCs w:val="21"/>
        </w:rPr>
      </w:pPr>
      <w:r>
        <w:rPr>
          <w:rFonts w:hint="eastAsia" w:ascii="宋体" w:hAnsi="宋体" w:eastAsia="宋体" w:cs="宋体"/>
          <w:color w:val="000000"/>
          <w:szCs w:val="21"/>
        </w:rPr>
        <w:t xml:space="preserve">           委托代理人（签字 ）:</w:t>
      </w:r>
    </w:p>
    <w:p>
      <w:pPr>
        <w:spacing w:line="500" w:lineRule="exact"/>
        <w:ind w:firstLine="411" w:firstLineChars="196"/>
        <w:jc w:val="center"/>
        <w:rPr>
          <w:rFonts w:ascii="宋体" w:hAnsi="宋体" w:eastAsia="宋体" w:cs="宋体"/>
          <w:color w:val="000000"/>
          <w:szCs w:val="21"/>
        </w:rPr>
      </w:pPr>
      <w:r>
        <w:rPr>
          <w:rFonts w:hint="eastAsia" w:ascii="宋体" w:hAnsi="宋体" w:eastAsia="宋体" w:cs="宋体"/>
          <w:color w:val="000000"/>
          <w:szCs w:val="21"/>
        </w:rPr>
        <w:t xml:space="preserve">                       日      期：年 月 日</w:t>
      </w:r>
      <w:bookmarkEnd w:id="130"/>
      <w:bookmarkStart w:id="131" w:name="_Hlk528843586"/>
    </w:p>
    <w:bookmarkEnd w:id="131"/>
    <w:p>
      <w:pPr>
        <w:spacing w:line="440" w:lineRule="exact"/>
        <w:jc w:val="center"/>
        <w:rPr>
          <w:rFonts w:ascii="宋体" w:hAnsi="宋体" w:eastAsia="宋体" w:cs="宋体"/>
          <w:b/>
          <w:color w:val="000000"/>
          <w:szCs w:val="21"/>
        </w:rPr>
      </w:pPr>
    </w:p>
    <w:p>
      <w:pPr>
        <w:spacing w:line="440" w:lineRule="exact"/>
        <w:jc w:val="center"/>
        <w:rPr>
          <w:rFonts w:ascii="宋体" w:hAnsi="宋体" w:eastAsia="宋体" w:cs="宋体"/>
          <w:b/>
          <w:color w:val="000000"/>
          <w:szCs w:val="21"/>
        </w:rPr>
      </w:pPr>
    </w:p>
    <w:p>
      <w:pPr>
        <w:spacing w:line="400" w:lineRule="exact"/>
        <w:jc w:val="center"/>
        <w:rPr>
          <w:rFonts w:ascii="宋体" w:hAnsi="宋体" w:eastAsia="宋体" w:cs="仿宋_GB2312"/>
          <w:b/>
          <w:color w:val="000000"/>
          <w:szCs w:val="21"/>
        </w:rPr>
      </w:pPr>
    </w:p>
    <w:p>
      <w:pPr>
        <w:spacing w:line="400" w:lineRule="exact"/>
        <w:jc w:val="center"/>
        <w:rPr>
          <w:rFonts w:ascii="宋体" w:hAnsi="宋体" w:eastAsia="宋体" w:cs="仿宋_GB2312"/>
          <w:b/>
          <w:color w:val="000000"/>
          <w:szCs w:val="21"/>
        </w:rPr>
      </w:pPr>
    </w:p>
    <w:p>
      <w:pPr>
        <w:spacing w:line="400" w:lineRule="exact"/>
        <w:jc w:val="center"/>
        <w:rPr>
          <w:rFonts w:ascii="宋体" w:hAnsi="宋体" w:eastAsia="宋体" w:cs="仿宋_GB2312"/>
          <w:b/>
          <w:color w:val="000000"/>
          <w:szCs w:val="21"/>
        </w:rPr>
      </w:pPr>
    </w:p>
    <w:p>
      <w:pPr>
        <w:spacing w:line="400" w:lineRule="exact"/>
        <w:jc w:val="center"/>
        <w:rPr>
          <w:rFonts w:ascii="宋体" w:hAnsi="宋体" w:eastAsia="宋体" w:cs="仿宋_GB2312"/>
          <w:b/>
          <w:color w:val="000000"/>
          <w:szCs w:val="21"/>
        </w:rPr>
      </w:pPr>
    </w:p>
    <w:p>
      <w:pPr>
        <w:spacing w:line="400" w:lineRule="exact"/>
        <w:jc w:val="center"/>
        <w:rPr>
          <w:rFonts w:ascii="宋体" w:hAnsi="宋体" w:eastAsia="宋体" w:cs="仿宋_GB2312"/>
          <w:b/>
          <w:color w:val="000000"/>
          <w:szCs w:val="21"/>
        </w:rPr>
      </w:pPr>
    </w:p>
    <w:p>
      <w:pPr>
        <w:spacing w:line="400" w:lineRule="exact"/>
        <w:jc w:val="center"/>
        <w:rPr>
          <w:rFonts w:ascii="宋体" w:hAnsi="宋体" w:eastAsia="宋体" w:cs="仿宋_GB2312"/>
          <w:b/>
          <w:color w:val="000000"/>
          <w:szCs w:val="21"/>
        </w:rPr>
      </w:pPr>
    </w:p>
    <w:p>
      <w:pPr>
        <w:spacing w:line="400" w:lineRule="exact"/>
        <w:jc w:val="center"/>
        <w:rPr>
          <w:rFonts w:ascii="宋体" w:hAnsi="宋体" w:eastAsia="宋体" w:cs="仿宋_GB2312"/>
          <w:b/>
          <w:color w:val="000000"/>
          <w:szCs w:val="21"/>
        </w:rPr>
      </w:pPr>
    </w:p>
    <w:p>
      <w:pPr>
        <w:spacing w:line="400" w:lineRule="exact"/>
        <w:rPr>
          <w:rFonts w:ascii="宋体" w:hAnsi="宋体" w:eastAsia="宋体" w:cs="宋体"/>
          <w:b/>
          <w:color w:val="000000"/>
          <w:szCs w:val="21"/>
        </w:rPr>
      </w:pPr>
    </w:p>
    <w:p>
      <w:pPr>
        <w:spacing w:line="400" w:lineRule="exact"/>
        <w:rPr>
          <w:rFonts w:ascii="宋体" w:hAnsi="宋体" w:eastAsia="宋体" w:cs="宋体"/>
          <w:b/>
          <w:color w:val="000000"/>
          <w:szCs w:val="21"/>
        </w:rPr>
      </w:pPr>
    </w:p>
    <w:p>
      <w:pPr>
        <w:spacing w:line="400" w:lineRule="exact"/>
        <w:rPr>
          <w:rFonts w:ascii="宋体" w:hAnsi="宋体" w:eastAsia="宋体" w:cs="宋体"/>
          <w:b/>
          <w:color w:val="000000"/>
          <w:szCs w:val="21"/>
        </w:rPr>
      </w:pPr>
    </w:p>
    <w:p>
      <w:pPr>
        <w:spacing w:line="400" w:lineRule="exact"/>
        <w:jc w:val="center"/>
        <w:outlineLvl w:val="1"/>
        <w:rPr>
          <w:rFonts w:ascii="宋体" w:hAnsi="宋体" w:eastAsia="宋体" w:cs="宋体"/>
          <w:color w:val="000000"/>
          <w:szCs w:val="21"/>
        </w:rPr>
      </w:pPr>
      <w:bookmarkStart w:id="132" w:name="_Toc23147"/>
      <w:bookmarkStart w:id="133" w:name="_Toc31648120"/>
      <w:bookmarkStart w:id="134" w:name="_Hlk528843612"/>
      <w:r>
        <w:rPr>
          <w:rFonts w:hint="eastAsia" w:ascii="宋体" w:hAnsi="宋体" w:eastAsia="宋体" w:cs="宋体"/>
          <w:b/>
          <w:color w:val="000000"/>
          <w:szCs w:val="21"/>
        </w:rPr>
        <w:t>五、谈判人资格</w:t>
      </w:r>
      <w:bookmarkEnd w:id="132"/>
      <w:r>
        <w:rPr>
          <w:rFonts w:hint="eastAsia" w:ascii="宋体" w:hAnsi="宋体" w:eastAsia="宋体" w:cs="宋体"/>
          <w:b/>
          <w:color w:val="000000"/>
          <w:szCs w:val="21"/>
        </w:rPr>
        <w:t>审查资料</w:t>
      </w:r>
      <w:bookmarkEnd w:id="133"/>
    </w:p>
    <w:p>
      <w:pPr>
        <w:spacing w:line="400" w:lineRule="exact"/>
        <w:rPr>
          <w:rFonts w:ascii="宋体" w:hAnsi="宋体" w:eastAsia="宋体" w:cs="宋体"/>
          <w:color w:val="000000"/>
          <w:szCs w:val="21"/>
        </w:rPr>
      </w:pPr>
    </w:p>
    <w:tbl>
      <w:tblPr>
        <w:tblStyle w:val="21"/>
        <w:tblW w:w="892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8"/>
        <w:gridCol w:w="1076"/>
        <w:gridCol w:w="1668"/>
        <w:gridCol w:w="661"/>
        <w:gridCol w:w="1575"/>
        <w:gridCol w:w="1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谈判人名称</w:t>
            </w:r>
          </w:p>
        </w:tc>
        <w:tc>
          <w:tcPr>
            <w:tcW w:w="69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注册地址</w:t>
            </w:r>
          </w:p>
        </w:tc>
        <w:tc>
          <w:tcPr>
            <w:tcW w:w="27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223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邮政编码</w:t>
            </w: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联系方式</w:t>
            </w:r>
          </w:p>
        </w:tc>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联系人</w:t>
            </w: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223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电话</w:t>
            </w: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9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Calibri" w:hAnsi="Calibri" w:cs="Calibri"/>
                <w:sz w:val="20"/>
                <w:szCs w:val="20"/>
              </w:rPr>
            </w:pPr>
          </w:p>
        </w:tc>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传真</w:t>
            </w: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223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网址</w:t>
            </w: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组织结构</w:t>
            </w:r>
          </w:p>
        </w:tc>
        <w:tc>
          <w:tcPr>
            <w:tcW w:w="69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法定代表人</w:t>
            </w:r>
          </w:p>
        </w:tc>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姓名</w:t>
            </w: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223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电话</w:t>
            </w: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技术负责人</w:t>
            </w:r>
          </w:p>
        </w:tc>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姓名</w:t>
            </w: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223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电话</w:t>
            </w: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成立时间</w:t>
            </w:r>
          </w:p>
        </w:tc>
        <w:tc>
          <w:tcPr>
            <w:tcW w:w="27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420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营业执照号</w:t>
            </w:r>
          </w:p>
        </w:tc>
        <w:tc>
          <w:tcPr>
            <w:tcW w:w="27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6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其中</w:t>
            </w:r>
          </w:p>
        </w:tc>
        <w:tc>
          <w:tcPr>
            <w:tcW w:w="15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高级职称人员</w:t>
            </w: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360" w:lineRule="auto"/>
              <w:jc w:val="center"/>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注册资金</w:t>
            </w:r>
          </w:p>
        </w:tc>
        <w:tc>
          <w:tcPr>
            <w:tcW w:w="27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6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Calibri" w:hAnsi="Calibri" w:cs="Calibri"/>
                <w:sz w:val="20"/>
                <w:szCs w:val="20"/>
              </w:rPr>
            </w:pPr>
          </w:p>
        </w:tc>
        <w:tc>
          <w:tcPr>
            <w:tcW w:w="15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中级职称人员</w:t>
            </w: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360" w:lineRule="auto"/>
              <w:jc w:val="center"/>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开户银行</w:t>
            </w:r>
          </w:p>
        </w:tc>
        <w:tc>
          <w:tcPr>
            <w:tcW w:w="27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6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Calibri" w:hAnsi="Calibri" w:cs="Calibri"/>
                <w:sz w:val="20"/>
                <w:szCs w:val="20"/>
              </w:rPr>
            </w:pPr>
          </w:p>
        </w:tc>
        <w:tc>
          <w:tcPr>
            <w:tcW w:w="15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初级职称人员</w:t>
            </w: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360" w:lineRule="auto"/>
              <w:jc w:val="center"/>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账号</w:t>
            </w:r>
          </w:p>
        </w:tc>
        <w:tc>
          <w:tcPr>
            <w:tcW w:w="27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6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Calibri" w:hAnsi="Calibri" w:cs="Calibri"/>
                <w:sz w:val="20"/>
                <w:szCs w:val="20"/>
              </w:rPr>
            </w:pPr>
          </w:p>
        </w:tc>
        <w:tc>
          <w:tcPr>
            <w:tcW w:w="15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其他人员</w:t>
            </w: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360" w:lineRule="auto"/>
              <w:jc w:val="center"/>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经营范围备注</w:t>
            </w:r>
          </w:p>
        </w:tc>
        <w:tc>
          <w:tcPr>
            <w:tcW w:w="69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firstLineChars="200"/>
              <w:jc w:val="center"/>
              <w:rPr>
                <w:rFonts w:ascii="宋体" w:hAnsi="宋体" w:eastAsia="宋体" w:cs="宋体"/>
                <w:color w:val="000000"/>
                <w:szCs w:val="21"/>
              </w:rPr>
            </w:pPr>
          </w:p>
        </w:tc>
      </w:tr>
    </w:tbl>
    <w:p>
      <w:pPr>
        <w:spacing w:line="400" w:lineRule="exact"/>
        <w:rPr>
          <w:rFonts w:ascii="宋体" w:hAnsi="宋体" w:eastAsia="宋体" w:cs="宋体"/>
          <w:color w:val="000000"/>
          <w:szCs w:val="21"/>
        </w:rPr>
      </w:pPr>
    </w:p>
    <w:p>
      <w:pPr>
        <w:spacing w:line="400" w:lineRule="exact"/>
        <w:rPr>
          <w:rFonts w:ascii="宋体" w:hAnsi="宋体" w:eastAsia="宋体" w:cs="宋体"/>
          <w:color w:val="000000"/>
          <w:szCs w:val="21"/>
        </w:rPr>
      </w:pPr>
      <w:r>
        <w:rPr>
          <w:rFonts w:hint="eastAsia" w:ascii="宋体" w:hAnsi="宋体" w:eastAsia="宋体" w:cs="宋体"/>
          <w:b/>
          <w:color w:val="000000"/>
          <w:szCs w:val="21"/>
        </w:rPr>
        <w:t>附企业营业执照、税务登记证、组织机构代码证（或三证合一的营业执照）等相关证件</w:t>
      </w:r>
    </w:p>
    <w:bookmarkEnd w:id="134"/>
    <w:p>
      <w:pPr>
        <w:spacing w:line="400" w:lineRule="exact"/>
        <w:rPr>
          <w:rFonts w:ascii="宋体" w:hAnsi="宋体" w:eastAsia="宋体" w:cs="宋体"/>
          <w:color w:val="000000"/>
          <w:szCs w:val="21"/>
        </w:rPr>
      </w:pPr>
    </w:p>
    <w:p>
      <w:pPr>
        <w:spacing w:line="400" w:lineRule="exact"/>
        <w:rPr>
          <w:rFonts w:ascii="宋体" w:hAnsi="宋体" w:eastAsia="宋体" w:cs="宋体"/>
          <w:color w:val="000000"/>
          <w:szCs w:val="21"/>
        </w:rPr>
      </w:pPr>
    </w:p>
    <w:p>
      <w:pPr>
        <w:spacing w:line="400" w:lineRule="exact"/>
        <w:rPr>
          <w:rFonts w:ascii="宋体" w:hAnsi="宋体" w:eastAsia="宋体" w:cs="宋体"/>
          <w:color w:val="000000"/>
          <w:szCs w:val="21"/>
        </w:rPr>
      </w:pPr>
    </w:p>
    <w:p>
      <w:pPr>
        <w:spacing w:line="400" w:lineRule="exact"/>
        <w:rPr>
          <w:rFonts w:ascii="宋体" w:hAnsi="宋体" w:eastAsia="宋体" w:cs="宋体"/>
          <w:color w:val="000000"/>
          <w:szCs w:val="21"/>
        </w:rPr>
      </w:pPr>
    </w:p>
    <w:p>
      <w:pPr>
        <w:spacing w:line="400" w:lineRule="exact"/>
        <w:rPr>
          <w:rFonts w:ascii="宋体" w:hAnsi="宋体" w:eastAsia="宋体" w:cs="宋体"/>
          <w:color w:val="000000"/>
          <w:szCs w:val="21"/>
        </w:rPr>
      </w:pPr>
    </w:p>
    <w:p>
      <w:pPr>
        <w:spacing w:line="400" w:lineRule="exact"/>
        <w:rPr>
          <w:rFonts w:ascii="宋体" w:hAnsi="宋体" w:eastAsia="宋体" w:cs="宋体"/>
          <w:b/>
          <w:color w:val="000000"/>
          <w:szCs w:val="21"/>
        </w:rPr>
      </w:pPr>
    </w:p>
    <w:p>
      <w:pPr>
        <w:jc w:val="center"/>
        <w:rPr>
          <w:rFonts w:ascii="宋体" w:hAnsi="宋体" w:eastAsia="宋体" w:cs="宋体"/>
          <w:b/>
          <w:color w:val="000000"/>
          <w:szCs w:val="21"/>
        </w:rPr>
      </w:pPr>
      <w:bookmarkStart w:id="135" w:name="_Hlk528843704"/>
    </w:p>
    <w:p>
      <w:pPr>
        <w:jc w:val="center"/>
        <w:rPr>
          <w:rFonts w:ascii="宋体" w:hAnsi="宋体" w:eastAsia="宋体" w:cs="宋体"/>
          <w:b/>
          <w:color w:val="000000"/>
          <w:szCs w:val="21"/>
        </w:rPr>
      </w:pPr>
    </w:p>
    <w:p>
      <w:pPr>
        <w:jc w:val="center"/>
        <w:rPr>
          <w:rFonts w:ascii="宋体" w:hAnsi="宋体" w:eastAsia="宋体" w:cs="宋体"/>
          <w:b/>
          <w:color w:val="000000"/>
          <w:szCs w:val="21"/>
        </w:rPr>
      </w:pPr>
    </w:p>
    <w:p>
      <w:pPr>
        <w:jc w:val="center"/>
        <w:rPr>
          <w:rFonts w:ascii="宋体" w:hAnsi="宋体" w:eastAsia="宋体" w:cs="宋体"/>
          <w:b/>
          <w:color w:val="000000"/>
          <w:szCs w:val="21"/>
        </w:rPr>
      </w:pPr>
    </w:p>
    <w:p>
      <w:pPr>
        <w:jc w:val="center"/>
        <w:rPr>
          <w:rFonts w:ascii="宋体" w:hAnsi="宋体" w:eastAsia="宋体" w:cs="宋体"/>
          <w:b/>
          <w:color w:val="000000"/>
          <w:szCs w:val="21"/>
        </w:rPr>
      </w:pPr>
    </w:p>
    <w:bookmarkEnd w:id="135"/>
    <w:p>
      <w:pPr>
        <w:spacing w:line="400" w:lineRule="exact"/>
        <w:rPr>
          <w:rFonts w:ascii="宋体" w:hAnsi="宋体" w:eastAsia="宋体" w:cs="宋体"/>
          <w:b/>
          <w:color w:val="000000"/>
          <w:szCs w:val="21"/>
        </w:rPr>
      </w:pPr>
    </w:p>
    <w:p>
      <w:pPr>
        <w:spacing w:line="400" w:lineRule="exact"/>
        <w:jc w:val="center"/>
        <w:outlineLvl w:val="1"/>
        <w:rPr>
          <w:rFonts w:ascii="宋体" w:hAnsi="宋体" w:eastAsia="宋体" w:cs="宋体"/>
          <w:b/>
          <w:color w:val="000000"/>
          <w:szCs w:val="21"/>
        </w:rPr>
      </w:pPr>
      <w:bookmarkStart w:id="136" w:name="_Toc31648121"/>
      <w:bookmarkStart w:id="137" w:name="_Toc31113"/>
      <w:bookmarkStart w:id="138" w:name="_Hlk528843632"/>
      <w:r>
        <w:rPr>
          <w:rFonts w:hint="eastAsia" w:ascii="宋体" w:hAnsi="宋体" w:eastAsia="宋体" w:cs="宋体"/>
          <w:b/>
          <w:color w:val="000000"/>
          <w:szCs w:val="21"/>
        </w:rPr>
        <w:t>六、项目采购承诺书</w:t>
      </w:r>
      <w:bookmarkEnd w:id="136"/>
      <w:bookmarkEnd w:id="137"/>
    </w:p>
    <w:p>
      <w:pPr>
        <w:spacing w:line="360" w:lineRule="auto"/>
        <w:rPr>
          <w:rFonts w:ascii="宋体" w:hAnsi="宋体" w:eastAsia="宋体" w:cs="宋体"/>
          <w:color w:val="000000"/>
          <w:szCs w:val="21"/>
        </w:rPr>
      </w:pPr>
    </w:p>
    <w:p>
      <w:pPr>
        <w:spacing w:line="360" w:lineRule="auto"/>
        <w:rPr>
          <w:rFonts w:ascii="宋体" w:hAnsi="宋体" w:eastAsia="宋体" w:cs="宋体"/>
          <w:color w:val="000000"/>
          <w:szCs w:val="21"/>
        </w:rPr>
      </w:pPr>
      <w:r>
        <w:rPr>
          <w:rFonts w:hint="eastAsia" w:ascii="宋体" w:hAnsi="宋体" w:eastAsia="宋体" w:cs="宋体"/>
          <w:color w:val="000000"/>
          <w:szCs w:val="21"/>
        </w:rPr>
        <w:t xml:space="preserve"> 致：（招标人名称）</w:t>
      </w:r>
    </w:p>
    <w:p>
      <w:pPr>
        <w:spacing w:line="360" w:lineRule="auto"/>
        <w:rPr>
          <w:rFonts w:ascii="宋体" w:hAnsi="宋体" w:eastAsia="宋体" w:cs="宋体"/>
          <w:color w:val="000000"/>
          <w:szCs w:val="21"/>
        </w:rPr>
      </w:pPr>
      <w:r>
        <w:rPr>
          <w:rFonts w:hint="eastAsia" w:ascii="宋体" w:hAnsi="宋体" w:eastAsia="宋体" w:cs="宋体"/>
          <w:color w:val="000000"/>
          <w:szCs w:val="21"/>
        </w:rPr>
        <w:t xml:space="preserve">    本承诺书作为我公司 （投标单位全称）参加   （项目名称）投标文件不可分割的一部分。我公司做为参加本次项目的投标供应商，郑重作如下承诺：</w:t>
      </w:r>
    </w:p>
    <w:p>
      <w:pPr>
        <w:spacing w:line="360" w:lineRule="auto"/>
        <w:ind w:firstLine="420" w:firstLineChars="200"/>
        <w:rPr>
          <w:rFonts w:ascii="宋体" w:hAnsi="宋体" w:eastAsia="宋体" w:cs="宋体"/>
          <w:bCs/>
          <w:color w:val="000000"/>
          <w:kern w:val="0"/>
          <w:szCs w:val="21"/>
        </w:rPr>
      </w:pPr>
      <w:r>
        <w:rPr>
          <w:rFonts w:hint="eastAsia" w:ascii="宋体" w:hAnsi="宋体" w:eastAsia="宋体" w:cs="宋体"/>
          <w:bCs/>
          <w:color w:val="000000"/>
          <w:kern w:val="0"/>
          <w:szCs w:val="21"/>
        </w:rPr>
        <w:t>1、我方已经过详细市场调查，本次所投报产品货源充足，保证不会出现无货、断货现象。</w:t>
      </w:r>
    </w:p>
    <w:p>
      <w:pPr>
        <w:spacing w:line="360" w:lineRule="auto"/>
        <w:rPr>
          <w:rFonts w:ascii="宋体" w:hAnsi="宋体" w:eastAsia="宋体" w:cs="宋体"/>
          <w:color w:val="000000"/>
          <w:szCs w:val="21"/>
        </w:rPr>
      </w:pPr>
      <w:r>
        <w:rPr>
          <w:rFonts w:hint="eastAsia" w:ascii="宋体" w:hAnsi="宋体" w:eastAsia="宋体" w:cs="宋体"/>
          <w:color w:val="000000"/>
          <w:szCs w:val="21"/>
        </w:rPr>
        <w:t xml:space="preserve">     2、我方将严格履行谈判文件中规定的每一项要求，按所投产品的品牌、型号及约定的服务期限保质、保量提供货物和相关服务，保证所提供的所有产品均符合国家相关标准规范或强制性规定，所供产品均为原厂生产的合格产品、符合谈判文件各项技术参数要求的规定，绝不提供假冒伪劣产品，如需要我方可以提供相关出厂合格证明或测试报告；</w:t>
      </w:r>
    </w:p>
    <w:p>
      <w:pPr>
        <w:spacing w:line="360" w:lineRule="auto"/>
        <w:rPr>
          <w:rFonts w:ascii="宋体" w:hAnsi="宋体" w:eastAsia="宋体" w:cs="宋体"/>
          <w:color w:val="000000"/>
          <w:szCs w:val="21"/>
        </w:rPr>
      </w:pPr>
      <w:r>
        <w:rPr>
          <w:rFonts w:hint="eastAsia" w:ascii="宋体" w:hAnsi="宋体" w:eastAsia="宋体" w:cs="宋体"/>
          <w:color w:val="000000"/>
          <w:szCs w:val="21"/>
        </w:rPr>
        <w:t xml:space="preserve">    3、如无法按我方承诺期限如期供货 ,对招标人造成损失的,我方愿承担相应赔偿责任；</w:t>
      </w:r>
    </w:p>
    <w:p>
      <w:pPr>
        <w:spacing w:line="360" w:lineRule="auto"/>
        <w:rPr>
          <w:rFonts w:ascii="宋体" w:hAnsi="宋体" w:eastAsia="宋体" w:cs="宋体"/>
          <w:color w:val="000000"/>
          <w:szCs w:val="21"/>
        </w:rPr>
      </w:pPr>
      <w:r>
        <w:rPr>
          <w:rFonts w:hint="eastAsia" w:ascii="宋体" w:hAnsi="宋体" w:eastAsia="宋体" w:cs="宋体"/>
          <w:color w:val="000000"/>
          <w:szCs w:val="21"/>
        </w:rPr>
        <w:t xml:space="preserve">    4、招标人验收时如发现我方所供产品与投标文件中所承诺的产品型号、规格、技术参数要求不符的，我方将立即无条件更换。如因此造成服务期限超出我方承诺期限的，同时愿承担合同约定的违约责任；</w:t>
      </w:r>
    </w:p>
    <w:p>
      <w:pPr>
        <w:spacing w:line="360" w:lineRule="auto"/>
        <w:rPr>
          <w:rFonts w:ascii="宋体" w:hAnsi="宋体" w:eastAsia="宋体" w:cs="宋体"/>
          <w:color w:val="000000"/>
          <w:szCs w:val="21"/>
        </w:rPr>
      </w:pPr>
      <w:r>
        <w:rPr>
          <w:rFonts w:hint="eastAsia" w:ascii="宋体" w:hAnsi="宋体" w:eastAsia="宋体" w:cs="宋体"/>
          <w:color w:val="000000"/>
          <w:szCs w:val="21"/>
        </w:rPr>
        <w:t xml:space="preserve">    5、我方提供的产品如不能满足谈判文件要求的，招标人有权拒绝接收；</w:t>
      </w:r>
    </w:p>
    <w:p>
      <w:pPr>
        <w:spacing w:line="360" w:lineRule="auto"/>
        <w:rPr>
          <w:rFonts w:ascii="宋体" w:hAnsi="宋体" w:eastAsia="宋体" w:cs="宋体"/>
          <w:color w:val="000000"/>
          <w:szCs w:val="21"/>
        </w:rPr>
      </w:pPr>
      <w:r>
        <w:rPr>
          <w:rFonts w:hint="eastAsia" w:ascii="宋体" w:hAnsi="宋体" w:eastAsia="宋体" w:cs="宋体"/>
          <w:color w:val="000000"/>
          <w:szCs w:val="21"/>
        </w:rPr>
        <w:t xml:space="preserve">    6、如评标委员会确定我方为本项目的中标人，在公示期内或领取中标（成交）通知书后，我方无正当理由（如自身报价失误、无法组织及时供货、资金不到位、帐户无法正常使用等）放弃中标资格。</w:t>
      </w:r>
    </w:p>
    <w:p>
      <w:pPr>
        <w:spacing w:line="360" w:lineRule="auto"/>
        <w:rPr>
          <w:rFonts w:ascii="宋体" w:hAnsi="宋体" w:eastAsia="宋体" w:cs="宋体"/>
          <w:color w:val="000000"/>
          <w:szCs w:val="21"/>
        </w:rPr>
      </w:pPr>
      <w:r>
        <w:rPr>
          <w:rFonts w:hint="eastAsia" w:ascii="宋体" w:hAnsi="宋体" w:eastAsia="宋体" w:cs="宋体"/>
          <w:color w:val="000000"/>
          <w:szCs w:val="21"/>
        </w:rPr>
        <w:t xml:space="preserve">    7、我方已详细阅读了本谈判文件，保证可以完全响应谈判文件中所有要求，并理解你方或评标委员会对我方进行资格审查的权利，如在资格审查中发现我方存在有违规行为愿承担相应法律责任。</w:t>
      </w:r>
    </w:p>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 xml:space="preserve">                          投  标  人：</w:t>
      </w:r>
      <w:r>
        <w:rPr>
          <w:rFonts w:hint="eastAsia" w:ascii="宋体" w:hAnsi="宋体" w:eastAsia="宋体" w:cs="宋体"/>
          <w:color w:val="000000"/>
          <w:szCs w:val="21"/>
          <w:u w:val="single"/>
        </w:rPr>
        <w:t xml:space="preserve">                     (盖章)       </w:t>
      </w:r>
    </w:p>
    <w:p>
      <w:pPr>
        <w:spacing w:line="360" w:lineRule="auto"/>
        <w:jc w:val="right"/>
        <w:rPr>
          <w:rFonts w:ascii="宋体" w:hAnsi="宋体" w:eastAsia="宋体" w:cs="宋体"/>
          <w:color w:val="000000"/>
          <w:szCs w:val="21"/>
        </w:rPr>
      </w:pPr>
      <w:r>
        <w:rPr>
          <w:rFonts w:hint="eastAsia" w:ascii="宋体" w:hAnsi="宋体" w:eastAsia="宋体" w:cs="宋体"/>
          <w:color w:val="000000"/>
          <w:szCs w:val="21"/>
        </w:rPr>
        <w:t xml:space="preserve">                     法定代表人或授权委托人：</w:t>
      </w:r>
      <w:r>
        <w:rPr>
          <w:rFonts w:hint="eastAsia" w:ascii="宋体" w:hAnsi="宋体" w:eastAsia="宋体" w:cs="宋体"/>
          <w:color w:val="000000"/>
          <w:szCs w:val="21"/>
          <w:u w:val="single"/>
        </w:rPr>
        <w:t xml:space="preserve">       （签字或盖章）</w:t>
      </w:r>
    </w:p>
    <w:p>
      <w:pPr>
        <w:spacing w:line="360" w:lineRule="auto"/>
        <w:ind w:firstLine="420" w:firstLineChars="200"/>
        <w:jc w:val="center"/>
        <w:rPr>
          <w:rFonts w:ascii="宋体" w:hAnsi="宋体" w:eastAsia="宋体" w:cs="宋体"/>
          <w:b/>
          <w:color w:val="000000"/>
          <w:szCs w:val="21"/>
        </w:rPr>
      </w:pPr>
      <w:bookmarkStart w:id="139" w:name="_Hlk528843648"/>
      <w:r>
        <w:rPr>
          <w:rFonts w:hint="eastAsia" w:ascii="宋体" w:hAnsi="宋体" w:eastAsia="宋体" w:cs="宋体"/>
          <w:color w:val="000000"/>
          <w:szCs w:val="21"/>
        </w:rPr>
        <w:t xml:space="preserve">            日     期 ：年月</w:t>
      </w:r>
      <w:r>
        <w:rPr>
          <w:rFonts w:hint="eastAsia" w:ascii="宋体" w:hAnsi="宋体" w:eastAsia="宋体" w:cs="宋体"/>
          <w:color w:val="000000"/>
          <w:szCs w:val="21"/>
          <w:u w:val="single"/>
        </w:rPr>
        <w:t xml:space="preserve">     日</w:t>
      </w:r>
      <w:bookmarkEnd w:id="139"/>
    </w:p>
    <w:bookmarkEnd w:id="138"/>
    <w:p>
      <w:pPr>
        <w:jc w:val="center"/>
        <w:rPr>
          <w:rFonts w:ascii="宋体" w:hAnsi="宋体" w:eastAsia="宋体" w:cs="宋体"/>
          <w:b/>
          <w:color w:val="000000"/>
          <w:szCs w:val="21"/>
        </w:rPr>
      </w:pPr>
    </w:p>
    <w:p>
      <w:pPr>
        <w:jc w:val="center"/>
        <w:rPr>
          <w:rFonts w:ascii="宋体" w:hAnsi="宋体" w:eastAsia="宋体" w:cs="宋体"/>
          <w:b/>
          <w:color w:val="000000"/>
          <w:szCs w:val="21"/>
        </w:rPr>
      </w:pPr>
    </w:p>
    <w:p>
      <w:pPr>
        <w:jc w:val="center"/>
        <w:rPr>
          <w:rFonts w:ascii="宋体" w:hAnsi="宋体" w:eastAsia="宋体" w:cs="宋体"/>
          <w:b/>
          <w:color w:val="000000"/>
          <w:szCs w:val="21"/>
        </w:rPr>
      </w:pPr>
    </w:p>
    <w:p>
      <w:pPr>
        <w:jc w:val="center"/>
        <w:rPr>
          <w:rFonts w:ascii="宋体" w:hAnsi="宋体" w:eastAsia="宋体" w:cs="宋体"/>
          <w:b/>
          <w:color w:val="000000"/>
          <w:szCs w:val="21"/>
        </w:rPr>
      </w:pPr>
    </w:p>
    <w:p>
      <w:pPr>
        <w:jc w:val="center"/>
        <w:rPr>
          <w:rFonts w:ascii="宋体" w:hAnsi="宋体" w:eastAsia="宋体" w:cs="宋体"/>
          <w:b/>
          <w:color w:val="000000"/>
          <w:szCs w:val="21"/>
        </w:rPr>
      </w:pPr>
    </w:p>
    <w:p>
      <w:pPr>
        <w:jc w:val="center"/>
        <w:rPr>
          <w:rFonts w:ascii="宋体" w:hAnsi="宋体" w:eastAsia="宋体" w:cs="宋体"/>
          <w:b/>
          <w:color w:val="000000"/>
          <w:szCs w:val="21"/>
        </w:rPr>
      </w:pPr>
      <w:bookmarkStart w:id="140" w:name="_Hlk528843686"/>
    </w:p>
    <w:p>
      <w:pPr>
        <w:jc w:val="center"/>
        <w:rPr>
          <w:rFonts w:ascii="宋体" w:hAnsi="宋体" w:eastAsia="宋体" w:cs="宋体"/>
          <w:b/>
          <w:color w:val="000000"/>
          <w:szCs w:val="21"/>
        </w:rPr>
      </w:pPr>
    </w:p>
    <w:bookmarkEnd w:id="140"/>
    <w:p>
      <w:pPr>
        <w:jc w:val="center"/>
        <w:rPr>
          <w:rFonts w:ascii="宋体" w:hAnsi="宋体" w:eastAsia="宋体" w:cs="宋体"/>
          <w:b/>
          <w:color w:val="000000"/>
          <w:szCs w:val="21"/>
        </w:rPr>
      </w:pPr>
      <w:bookmarkStart w:id="141" w:name="_Toc8867"/>
      <w:bookmarkStart w:id="142" w:name="_Hlk528843719"/>
      <w:bookmarkStart w:id="143" w:name="_Toc23170"/>
      <w:bookmarkStart w:id="144" w:name="_Toc11735"/>
      <w:bookmarkStart w:id="145" w:name="_Toc389205881"/>
      <w:bookmarkStart w:id="146" w:name="_Toc10759"/>
    </w:p>
    <w:p>
      <w:pPr>
        <w:jc w:val="center"/>
        <w:rPr>
          <w:rFonts w:ascii="宋体" w:hAnsi="宋体" w:eastAsia="宋体" w:cs="宋体"/>
          <w:b/>
          <w:bCs/>
          <w:color w:val="000000"/>
          <w:szCs w:val="21"/>
        </w:rPr>
      </w:pPr>
      <w:r>
        <w:rPr>
          <w:rFonts w:hint="eastAsia" w:ascii="宋体" w:hAnsi="宋体" w:eastAsia="宋体" w:cs="宋体"/>
          <w:b/>
          <w:color w:val="000000"/>
          <w:szCs w:val="21"/>
        </w:rPr>
        <w:t xml:space="preserve"> 七、</w:t>
      </w:r>
      <w:r>
        <w:rPr>
          <w:rFonts w:hint="eastAsia" w:ascii="宋体" w:hAnsi="宋体" w:eastAsia="宋体" w:cs="宋体"/>
          <w:b/>
          <w:bCs/>
          <w:color w:val="000000"/>
          <w:szCs w:val="21"/>
        </w:rPr>
        <w:t>货物分项报价表</w:t>
      </w:r>
    </w:p>
    <w:p>
      <w:pPr>
        <w:spacing w:line="440" w:lineRule="atLeast"/>
        <w:jc w:val="center"/>
        <w:rPr>
          <w:b/>
          <w:kern w:val="0"/>
          <w:sz w:val="24"/>
          <w:szCs w:val="22"/>
          <w:lang w:val="zh-CN"/>
        </w:rPr>
      </w:pPr>
    </w:p>
    <w:tbl>
      <w:tblPr>
        <w:tblStyle w:val="21"/>
        <w:tblpPr w:leftFromText="180" w:rightFromText="180" w:vertAnchor="text" w:horzAnchor="margin" w:tblpY="218"/>
        <w:tblW w:w="9447" w:type="dxa"/>
        <w:tblInd w:w="0" w:type="dxa"/>
        <w:tblLayout w:type="fixed"/>
        <w:tblCellMar>
          <w:top w:w="0" w:type="dxa"/>
          <w:left w:w="108" w:type="dxa"/>
          <w:bottom w:w="0" w:type="dxa"/>
          <w:right w:w="108" w:type="dxa"/>
        </w:tblCellMar>
      </w:tblPr>
      <w:tblGrid>
        <w:gridCol w:w="730"/>
        <w:gridCol w:w="652"/>
        <w:gridCol w:w="692"/>
        <w:gridCol w:w="1343"/>
        <w:gridCol w:w="1000"/>
        <w:gridCol w:w="1094"/>
        <w:gridCol w:w="1297"/>
        <w:gridCol w:w="1230"/>
        <w:gridCol w:w="1302"/>
        <w:gridCol w:w="107"/>
      </w:tblGrid>
      <w:tr>
        <w:tblPrEx>
          <w:tblCellMar>
            <w:top w:w="0" w:type="dxa"/>
            <w:left w:w="108" w:type="dxa"/>
            <w:bottom w:w="0" w:type="dxa"/>
            <w:right w:w="108" w:type="dxa"/>
          </w:tblCellMar>
        </w:tblPrEx>
        <w:trPr>
          <w:trHeight w:val="80" w:hRule="atLeast"/>
        </w:trPr>
        <w:tc>
          <w:tcPr>
            <w:tcW w:w="9447" w:type="dxa"/>
            <w:gridSpan w:val="10"/>
            <w:shd w:val="clear" w:color="auto" w:fill="auto"/>
            <w:vAlign w:val="center"/>
          </w:tcPr>
          <w:p>
            <w:pPr>
              <w:widowControl/>
              <w:rPr>
                <w:color w:val="000000"/>
                <w:kern w:val="0"/>
                <w:sz w:val="10"/>
                <w:szCs w:val="10"/>
              </w:rPr>
            </w:pPr>
          </w:p>
        </w:tc>
      </w:tr>
      <w:tr>
        <w:tblPrEx>
          <w:tblCellMar>
            <w:top w:w="0" w:type="dxa"/>
            <w:left w:w="108" w:type="dxa"/>
            <w:bottom w:w="0" w:type="dxa"/>
            <w:right w:w="108" w:type="dxa"/>
          </w:tblCellMar>
        </w:tblPrEx>
        <w:trPr>
          <w:gridAfter w:val="1"/>
          <w:wAfter w:w="107" w:type="dxa"/>
          <w:trHeight w:val="659" w:hRule="atLeast"/>
        </w:trPr>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sz w:val="24"/>
                <w:szCs w:val="22"/>
              </w:rPr>
            </w:pPr>
            <w:r>
              <w:rPr>
                <w:rFonts w:hint="eastAsia" w:ascii="Times New Roman" w:hAnsi="Times New Roman" w:eastAsia="宋体" w:cs="宋体"/>
                <w:b/>
                <w:sz w:val="24"/>
                <w:szCs w:val="22"/>
              </w:rPr>
              <w:t>序号</w:t>
            </w:r>
          </w:p>
        </w:tc>
        <w:tc>
          <w:tcPr>
            <w:tcW w:w="13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sz w:val="24"/>
                <w:szCs w:val="22"/>
              </w:rPr>
            </w:pPr>
            <w:r>
              <w:rPr>
                <w:rFonts w:hint="eastAsia" w:ascii="Times New Roman" w:hAnsi="Times New Roman" w:eastAsia="宋体" w:cs="宋体"/>
                <w:b/>
                <w:sz w:val="24"/>
                <w:szCs w:val="22"/>
              </w:rPr>
              <w:t>名称</w:t>
            </w:r>
          </w:p>
        </w:tc>
        <w:tc>
          <w:tcPr>
            <w:tcW w:w="13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b/>
                <w:sz w:val="24"/>
                <w:szCs w:val="22"/>
              </w:rPr>
            </w:pPr>
            <w:r>
              <w:rPr>
                <w:rFonts w:hint="eastAsia" w:ascii="Times New Roman" w:hAnsi="Times New Roman" w:eastAsia="宋体" w:cs="宋体"/>
                <w:b/>
                <w:sz w:val="24"/>
                <w:szCs w:val="22"/>
              </w:rPr>
              <w:t>规格、品牌</w:t>
            </w:r>
          </w:p>
        </w:tc>
        <w:tc>
          <w:tcPr>
            <w:tcW w:w="10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sz w:val="24"/>
                <w:szCs w:val="22"/>
              </w:rPr>
            </w:pPr>
            <w:r>
              <w:rPr>
                <w:rFonts w:hint="eastAsia" w:ascii="Times New Roman" w:hAnsi="Times New Roman" w:eastAsia="宋体" w:cs="宋体"/>
                <w:b/>
                <w:sz w:val="24"/>
                <w:szCs w:val="22"/>
              </w:rPr>
              <w:t>单位</w:t>
            </w:r>
          </w:p>
        </w:tc>
        <w:tc>
          <w:tcPr>
            <w:tcW w:w="10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sz w:val="24"/>
                <w:szCs w:val="22"/>
              </w:rPr>
            </w:pPr>
            <w:r>
              <w:rPr>
                <w:rFonts w:hint="eastAsia" w:ascii="Times New Roman" w:hAnsi="Times New Roman" w:eastAsia="宋体" w:cs="宋体"/>
                <w:b/>
                <w:sz w:val="24"/>
                <w:szCs w:val="22"/>
              </w:rPr>
              <w:t>数量</w:t>
            </w:r>
          </w:p>
        </w:tc>
        <w:tc>
          <w:tcPr>
            <w:tcW w:w="12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sz w:val="24"/>
                <w:szCs w:val="22"/>
              </w:rPr>
            </w:pPr>
            <w:r>
              <w:rPr>
                <w:rFonts w:hint="eastAsia" w:ascii="Times New Roman" w:hAnsi="Times New Roman" w:eastAsia="宋体" w:cs="宋体"/>
                <w:b/>
                <w:sz w:val="24"/>
                <w:szCs w:val="22"/>
              </w:rPr>
              <w:t>单价（元）</w:t>
            </w:r>
          </w:p>
        </w:tc>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sz w:val="24"/>
                <w:szCs w:val="22"/>
              </w:rPr>
            </w:pPr>
            <w:r>
              <w:rPr>
                <w:rFonts w:hint="eastAsia" w:ascii="Times New Roman" w:hAnsi="Times New Roman" w:eastAsia="宋体" w:cs="宋体"/>
                <w:b/>
                <w:sz w:val="24"/>
                <w:szCs w:val="22"/>
              </w:rPr>
              <w:t>总价（元）</w:t>
            </w:r>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sz w:val="24"/>
                <w:szCs w:val="22"/>
              </w:rPr>
            </w:pPr>
            <w:r>
              <w:rPr>
                <w:rFonts w:hint="eastAsia" w:ascii="Times New Roman" w:hAnsi="Times New Roman" w:eastAsia="宋体" w:cs="宋体"/>
                <w:b/>
                <w:sz w:val="24"/>
                <w:szCs w:val="22"/>
              </w:rPr>
              <w:t>备注</w:t>
            </w:r>
          </w:p>
        </w:tc>
      </w:tr>
      <w:tr>
        <w:tblPrEx>
          <w:tblCellMar>
            <w:top w:w="0" w:type="dxa"/>
            <w:left w:w="108" w:type="dxa"/>
            <w:bottom w:w="0" w:type="dxa"/>
            <w:right w:w="108" w:type="dxa"/>
          </w:tblCellMar>
        </w:tblPrEx>
        <w:trPr>
          <w:gridAfter w:val="1"/>
          <w:wAfter w:w="107" w:type="dxa"/>
          <w:trHeight w:val="659" w:hRule="atLeast"/>
        </w:trPr>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sz w:val="24"/>
                <w:szCs w:val="22"/>
              </w:rPr>
            </w:pPr>
            <w:r>
              <w:rPr>
                <w:rFonts w:ascii="Times New Roman" w:hAnsi="Times New Roman" w:eastAsia="宋体" w:cs="Times New Roman"/>
                <w:sz w:val="24"/>
                <w:szCs w:val="22"/>
              </w:rPr>
              <w:t>1</w:t>
            </w:r>
          </w:p>
        </w:tc>
        <w:tc>
          <w:tcPr>
            <w:tcW w:w="134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sz w:val="24"/>
                <w:szCs w:val="22"/>
              </w:rPr>
            </w:pPr>
          </w:p>
        </w:tc>
        <w:tc>
          <w:tcPr>
            <w:tcW w:w="1343" w:type="dxa"/>
            <w:tcBorders>
              <w:top w:val="single" w:color="auto" w:sz="4" w:space="0"/>
              <w:left w:val="nil"/>
              <w:bottom w:val="single" w:color="auto" w:sz="4" w:space="0"/>
              <w:right w:val="single" w:color="auto" w:sz="4" w:space="0"/>
            </w:tcBorders>
            <w:shd w:val="clear" w:color="auto" w:fill="auto"/>
            <w:vAlign w:val="center"/>
          </w:tcPr>
          <w:p>
            <w:pPr>
              <w:widowControl/>
              <w:jc w:val="center"/>
              <w:rPr>
                <w:sz w:val="24"/>
                <w:szCs w:val="22"/>
              </w:rPr>
            </w:pPr>
          </w:p>
        </w:tc>
        <w:tc>
          <w:tcPr>
            <w:tcW w:w="1000" w:type="dxa"/>
            <w:tcBorders>
              <w:top w:val="single" w:color="auto" w:sz="4" w:space="0"/>
              <w:left w:val="nil"/>
              <w:bottom w:val="single" w:color="auto" w:sz="4" w:space="0"/>
              <w:right w:val="single" w:color="auto" w:sz="4" w:space="0"/>
            </w:tcBorders>
            <w:shd w:val="clear" w:color="auto" w:fill="auto"/>
            <w:vAlign w:val="center"/>
          </w:tcPr>
          <w:p>
            <w:pPr>
              <w:widowControl/>
              <w:jc w:val="center"/>
              <w:rPr>
                <w:sz w:val="24"/>
                <w:szCs w:val="22"/>
              </w:rPr>
            </w:pPr>
          </w:p>
        </w:tc>
        <w:tc>
          <w:tcPr>
            <w:tcW w:w="1094" w:type="dxa"/>
            <w:tcBorders>
              <w:top w:val="single" w:color="auto" w:sz="4" w:space="0"/>
              <w:left w:val="nil"/>
              <w:bottom w:val="single" w:color="auto" w:sz="4" w:space="0"/>
              <w:right w:val="single" w:color="auto" w:sz="4" w:space="0"/>
            </w:tcBorders>
            <w:shd w:val="clear" w:color="auto" w:fill="auto"/>
            <w:vAlign w:val="center"/>
          </w:tcPr>
          <w:p>
            <w:pPr>
              <w:widowControl/>
              <w:jc w:val="center"/>
              <w:rPr>
                <w:sz w:val="24"/>
                <w:szCs w:val="22"/>
              </w:rPr>
            </w:pPr>
          </w:p>
        </w:tc>
        <w:tc>
          <w:tcPr>
            <w:tcW w:w="1297" w:type="dxa"/>
            <w:tcBorders>
              <w:top w:val="single" w:color="auto" w:sz="4" w:space="0"/>
              <w:left w:val="nil"/>
              <w:bottom w:val="single" w:color="auto" w:sz="4" w:space="0"/>
              <w:right w:val="single" w:color="auto" w:sz="4" w:space="0"/>
            </w:tcBorders>
            <w:shd w:val="clear" w:color="auto" w:fill="auto"/>
            <w:vAlign w:val="center"/>
          </w:tcPr>
          <w:p>
            <w:pPr>
              <w:widowControl/>
              <w:jc w:val="center"/>
              <w:textAlignment w:val="bottom"/>
              <w:rPr>
                <w:sz w:val="24"/>
                <w:szCs w:val="22"/>
              </w:rPr>
            </w:pPr>
          </w:p>
        </w:tc>
        <w:tc>
          <w:tcPr>
            <w:tcW w:w="1230" w:type="dxa"/>
            <w:tcBorders>
              <w:top w:val="single" w:color="auto" w:sz="4" w:space="0"/>
              <w:left w:val="nil"/>
              <w:bottom w:val="single" w:color="auto" w:sz="4" w:space="0"/>
              <w:right w:val="single" w:color="auto" w:sz="4" w:space="0"/>
            </w:tcBorders>
            <w:shd w:val="clear" w:color="auto" w:fill="auto"/>
            <w:vAlign w:val="center"/>
          </w:tcPr>
          <w:p>
            <w:pPr>
              <w:widowControl/>
              <w:jc w:val="center"/>
              <w:textAlignment w:val="bottom"/>
              <w:rPr>
                <w:sz w:val="24"/>
                <w:szCs w:val="22"/>
              </w:rPr>
            </w:pPr>
          </w:p>
        </w:tc>
        <w:tc>
          <w:tcPr>
            <w:tcW w:w="1302" w:type="dxa"/>
            <w:tcBorders>
              <w:top w:val="single" w:color="auto" w:sz="4" w:space="0"/>
              <w:left w:val="nil"/>
              <w:bottom w:val="single" w:color="auto" w:sz="4" w:space="0"/>
              <w:right w:val="single" w:color="auto" w:sz="4" w:space="0"/>
            </w:tcBorders>
            <w:shd w:val="clear" w:color="auto" w:fill="auto"/>
            <w:vAlign w:val="center"/>
          </w:tcPr>
          <w:p>
            <w:pPr>
              <w:widowControl/>
              <w:jc w:val="center"/>
              <w:rPr>
                <w:sz w:val="24"/>
                <w:szCs w:val="22"/>
              </w:rPr>
            </w:pPr>
          </w:p>
        </w:tc>
      </w:tr>
      <w:tr>
        <w:tblPrEx>
          <w:tblCellMar>
            <w:top w:w="0" w:type="dxa"/>
            <w:left w:w="108" w:type="dxa"/>
            <w:bottom w:w="0" w:type="dxa"/>
            <w:right w:w="108" w:type="dxa"/>
          </w:tblCellMar>
        </w:tblPrEx>
        <w:trPr>
          <w:gridAfter w:val="1"/>
          <w:wAfter w:w="107" w:type="dxa"/>
          <w:trHeight w:val="659" w:hRule="atLeast"/>
        </w:trPr>
        <w:tc>
          <w:tcPr>
            <w:tcW w:w="730" w:type="dxa"/>
            <w:tcBorders>
              <w:top w:val="nil"/>
              <w:left w:val="single" w:color="auto" w:sz="4" w:space="0"/>
              <w:bottom w:val="single" w:color="auto" w:sz="4" w:space="0"/>
              <w:right w:val="single" w:color="auto" w:sz="4" w:space="0"/>
            </w:tcBorders>
            <w:shd w:val="clear" w:color="auto" w:fill="auto"/>
            <w:vAlign w:val="center"/>
          </w:tcPr>
          <w:p>
            <w:pPr>
              <w:widowControl/>
              <w:jc w:val="center"/>
              <w:rPr>
                <w:sz w:val="24"/>
                <w:szCs w:val="22"/>
              </w:rPr>
            </w:pPr>
            <w:r>
              <w:rPr>
                <w:rFonts w:ascii="Times New Roman" w:hAnsi="Times New Roman" w:eastAsia="宋体" w:cs="Times New Roman"/>
                <w:sz w:val="24"/>
                <w:szCs w:val="22"/>
              </w:rPr>
              <w:t>2</w:t>
            </w:r>
          </w:p>
        </w:tc>
        <w:tc>
          <w:tcPr>
            <w:tcW w:w="1344" w:type="dxa"/>
            <w:gridSpan w:val="2"/>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343"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000"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094"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297" w:type="dxa"/>
            <w:tcBorders>
              <w:top w:val="nil"/>
              <w:left w:val="nil"/>
              <w:bottom w:val="single" w:color="auto" w:sz="4" w:space="0"/>
              <w:right w:val="single" w:color="auto" w:sz="4" w:space="0"/>
            </w:tcBorders>
            <w:shd w:val="clear" w:color="auto" w:fill="auto"/>
            <w:vAlign w:val="center"/>
          </w:tcPr>
          <w:p>
            <w:pPr>
              <w:widowControl/>
              <w:jc w:val="center"/>
              <w:textAlignment w:val="bottom"/>
              <w:rPr>
                <w:sz w:val="24"/>
                <w:szCs w:val="22"/>
              </w:rPr>
            </w:pPr>
          </w:p>
        </w:tc>
        <w:tc>
          <w:tcPr>
            <w:tcW w:w="1230" w:type="dxa"/>
            <w:tcBorders>
              <w:top w:val="nil"/>
              <w:left w:val="nil"/>
              <w:bottom w:val="single" w:color="auto" w:sz="4" w:space="0"/>
              <w:right w:val="single" w:color="auto" w:sz="4" w:space="0"/>
            </w:tcBorders>
            <w:shd w:val="clear" w:color="auto" w:fill="auto"/>
            <w:vAlign w:val="center"/>
          </w:tcPr>
          <w:p>
            <w:pPr>
              <w:widowControl/>
              <w:jc w:val="center"/>
              <w:textAlignment w:val="bottom"/>
              <w:rPr>
                <w:sz w:val="24"/>
                <w:szCs w:val="22"/>
              </w:rPr>
            </w:pPr>
          </w:p>
        </w:tc>
        <w:tc>
          <w:tcPr>
            <w:tcW w:w="1302"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r>
      <w:tr>
        <w:tblPrEx>
          <w:tblCellMar>
            <w:top w:w="0" w:type="dxa"/>
            <w:left w:w="108" w:type="dxa"/>
            <w:bottom w:w="0" w:type="dxa"/>
            <w:right w:w="108" w:type="dxa"/>
          </w:tblCellMar>
        </w:tblPrEx>
        <w:trPr>
          <w:gridAfter w:val="1"/>
          <w:wAfter w:w="107" w:type="dxa"/>
          <w:trHeight w:val="659" w:hRule="atLeast"/>
        </w:trPr>
        <w:tc>
          <w:tcPr>
            <w:tcW w:w="730" w:type="dxa"/>
            <w:tcBorders>
              <w:top w:val="nil"/>
              <w:left w:val="single" w:color="auto" w:sz="4" w:space="0"/>
              <w:bottom w:val="single" w:color="auto" w:sz="4" w:space="0"/>
              <w:right w:val="single" w:color="auto" w:sz="4" w:space="0"/>
            </w:tcBorders>
            <w:shd w:val="clear" w:color="auto" w:fill="auto"/>
            <w:vAlign w:val="center"/>
          </w:tcPr>
          <w:p>
            <w:pPr>
              <w:widowControl/>
              <w:jc w:val="center"/>
              <w:rPr>
                <w:sz w:val="24"/>
                <w:szCs w:val="22"/>
              </w:rPr>
            </w:pPr>
            <w:r>
              <w:rPr>
                <w:rFonts w:ascii="Times New Roman" w:hAnsi="Times New Roman" w:eastAsia="宋体" w:cs="Times New Roman"/>
                <w:sz w:val="24"/>
                <w:szCs w:val="22"/>
              </w:rPr>
              <w:t>3</w:t>
            </w:r>
          </w:p>
        </w:tc>
        <w:tc>
          <w:tcPr>
            <w:tcW w:w="1344" w:type="dxa"/>
            <w:gridSpan w:val="2"/>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343"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000"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094"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297" w:type="dxa"/>
            <w:tcBorders>
              <w:top w:val="nil"/>
              <w:left w:val="nil"/>
              <w:bottom w:val="single" w:color="auto" w:sz="4" w:space="0"/>
              <w:right w:val="single" w:color="auto" w:sz="4" w:space="0"/>
            </w:tcBorders>
            <w:shd w:val="clear" w:color="auto" w:fill="auto"/>
            <w:vAlign w:val="center"/>
          </w:tcPr>
          <w:p>
            <w:pPr>
              <w:widowControl/>
              <w:jc w:val="center"/>
              <w:textAlignment w:val="bottom"/>
              <w:rPr>
                <w:sz w:val="24"/>
                <w:szCs w:val="22"/>
              </w:rPr>
            </w:pPr>
          </w:p>
        </w:tc>
        <w:tc>
          <w:tcPr>
            <w:tcW w:w="1230" w:type="dxa"/>
            <w:tcBorders>
              <w:top w:val="nil"/>
              <w:left w:val="nil"/>
              <w:bottom w:val="single" w:color="auto" w:sz="4" w:space="0"/>
              <w:right w:val="single" w:color="auto" w:sz="4" w:space="0"/>
            </w:tcBorders>
            <w:shd w:val="clear" w:color="auto" w:fill="auto"/>
            <w:vAlign w:val="center"/>
          </w:tcPr>
          <w:p>
            <w:pPr>
              <w:widowControl/>
              <w:jc w:val="center"/>
              <w:textAlignment w:val="bottom"/>
              <w:rPr>
                <w:sz w:val="24"/>
                <w:szCs w:val="22"/>
              </w:rPr>
            </w:pPr>
          </w:p>
        </w:tc>
        <w:tc>
          <w:tcPr>
            <w:tcW w:w="1302"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r>
      <w:tr>
        <w:tblPrEx>
          <w:tblCellMar>
            <w:top w:w="0" w:type="dxa"/>
            <w:left w:w="108" w:type="dxa"/>
            <w:bottom w:w="0" w:type="dxa"/>
            <w:right w:w="108" w:type="dxa"/>
          </w:tblCellMar>
        </w:tblPrEx>
        <w:trPr>
          <w:gridAfter w:val="1"/>
          <w:wAfter w:w="107" w:type="dxa"/>
          <w:trHeight w:val="659" w:hRule="atLeast"/>
        </w:trPr>
        <w:tc>
          <w:tcPr>
            <w:tcW w:w="730" w:type="dxa"/>
            <w:tcBorders>
              <w:top w:val="nil"/>
              <w:left w:val="single" w:color="auto" w:sz="4" w:space="0"/>
              <w:bottom w:val="single" w:color="auto" w:sz="4" w:space="0"/>
              <w:right w:val="single" w:color="auto" w:sz="4" w:space="0"/>
            </w:tcBorders>
            <w:shd w:val="clear" w:color="auto" w:fill="auto"/>
            <w:vAlign w:val="center"/>
          </w:tcPr>
          <w:p>
            <w:pPr>
              <w:widowControl/>
              <w:jc w:val="center"/>
              <w:rPr>
                <w:sz w:val="24"/>
                <w:szCs w:val="22"/>
              </w:rPr>
            </w:pPr>
            <w:r>
              <w:rPr>
                <w:rFonts w:ascii="Times New Roman" w:hAnsi="Times New Roman" w:eastAsia="宋体" w:cs="Times New Roman"/>
                <w:sz w:val="24"/>
                <w:szCs w:val="22"/>
              </w:rPr>
              <w:t>4</w:t>
            </w:r>
          </w:p>
        </w:tc>
        <w:tc>
          <w:tcPr>
            <w:tcW w:w="1344" w:type="dxa"/>
            <w:gridSpan w:val="2"/>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343"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000"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094"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297" w:type="dxa"/>
            <w:tcBorders>
              <w:top w:val="nil"/>
              <w:left w:val="nil"/>
              <w:bottom w:val="single" w:color="auto" w:sz="4" w:space="0"/>
              <w:right w:val="single" w:color="auto" w:sz="4" w:space="0"/>
            </w:tcBorders>
            <w:shd w:val="clear" w:color="auto" w:fill="auto"/>
            <w:vAlign w:val="center"/>
          </w:tcPr>
          <w:p>
            <w:pPr>
              <w:widowControl/>
              <w:jc w:val="center"/>
              <w:textAlignment w:val="bottom"/>
              <w:rPr>
                <w:sz w:val="24"/>
                <w:szCs w:val="22"/>
              </w:rPr>
            </w:pPr>
          </w:p>
        </w:tc>
        <w:tc>
          <w:tcPr>
            <w:tcW w:w="1230" w:type="dxa"/>
            <w:tcBorders>
              <w:top w:val="nil"/>
              <w:left w:val="nil"/>
              <w:bottom w:val="single" w:color="auto" w:sz="4" w:space="0"/>
              <w:right w:val="single" w:color="auto" w:sz="4" w:space="0"/>
            </w:tcBorders>
            <w:shd w:val="clear" w:color="auto" w:fill="auto"/>
            <w:vAlign w:val="center"/>
          </w:tcPr>
          <w:p>
            <w:pPr>
              <w:widowControl/>
              <w:jc w:val="center"/>
              <w:textAlignment w:val="bottom"/>
              <w:rPr>
                <w:sz w:val="24"/>
                <w:szCs w:val="22"/>
              </w:rPr>
            </w:pPr>
          </w:p>
        </w:tc>
        <w:tc>
          <w:tcPr>
            <w:tcW w:w="1302"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r>
      <w:tr>
        <w:tblPrEx>
          <w:tblCellMar>
            <w:top w:w="0" w:type="dxa"/>
            <w:left w:w="108" w:type="dxa"/>
            <w:bottom w:w="0" w:type="dxa"/>
            <w:right w:w="108" w:type="dxa"/>
          </w:tblCellMar>
        </w:tblPrEx>
        <w:trPr>
          <w:gridAfter w:val="1"/>
          <w:wAfter w:w="107" w:type="dxa"/>
          <w:trHeight w:val="659" w:hRule="atLeast"/>
        </w:trPr>
        <w:tc>
          <w:tcPr>
            <w:tcW w:w="730" w:type="dxa"/>
            <w:tcBorders>
              <w:top w:val="nil"/>
              <w:left w:val="single" w:color="auto" w:sz="4" w:space="0"/>
              <w:bottom w:val="single" w:color="auto" w:sz="4" w:space="0"/>
              <w:right w:val="single" w:color="auto" w:sz="4" w:space="0"/>
            </w:tcBorders>
            <w:shd w:val="clear" w:color="auto" w:fill="auto"/>
            <w:vAlign w:val="center"/>
          </w:tcPr>
          <w:p>
            <w:pPr>
              <w:widowControl/>
              <w:jc w:val="center"/>
              <w:rPr>
                <w:sz w:val="24"/>
                <w:szCs w:val="22"/>
              </w:rPr>
            </w:pPr>
            <w:r>
              <w:rPr>
                <w:rFonts w:hint="eastAsia" w:ascii="Times New Roman" w:hAnsi="Times New Roman" w:eastAsia="宋体" w:cs="Times New Roman"/>
                <w:sz w:val="24"/>
                <w:szCs w:val="22"/>
              </w:rPr>
              <w:t>5</w:t>
            </w:r>
          </w:p>
        </w:tc>
        <w:tc>
          <w:tcPr>
            <w:tcW w:w="1344" w:type="dxa"/>
            <w:gridSpan w:val="2"/>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343"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000"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094"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297" w:type="dxa"/>
            <w:tcBorders>
              <w:top w:val="nil"/>
              <w:left w:val="nil"/>
              <w:bottom w:val="single" w:color="auto" w:sz="4" w:space="0"/>
              <w:right w:val="single" w:color="auto" w:sz="4" w:space="0"/>
            </w:tcBorders>
            <w:shd w:val="clear" w:color="auto" w:fill="auto"/>
            <w:vAlign w:val="center"/>
          </w:tcPr>
          <w:p>
            <w:pPr>
              <w:widowControl/>
              <w:jc w:val="center"/>
              <w:textAlignment w:val="bottom"/>
              <w:rPr>
                <w:sz w:val="24"/>
                <w:szCs w:val="22"/>
              </w:rPr>
            </w:pPr>
          </w:p>
        </w:tc>
        <w:tc>
          <w:tcPr>
            <w:tcW w:w="1230" w:type="dxa"/>
            <w:tcBorders>
              <w:top w:val="nil"/>
              <w:left w:val="nil"/>
              <w:bottom w:val="single" w:color="auto" w:sz="4" w:space="0"/>
              <w:right w:val="single" w:color="auto" w:sz="4" w:space="0"/>
            </w:tcBorders>
            <w:shd w:val="clear" w:color="auto" w:fill="auto"/>
            <w:vAlign w:val="center"/>
          </w:tcPr>
          <w:p>
            <w:pPr>
              <w:widowControl/>
              <w:jc w:val="center"/>
              <w:textAlignment w:val="bottom"/>
              <w:rPr>
                <w:sz w:val="24"/>
                <w:szCs w:val="22"/>
              </w:rPr>
            </w:pPr>
          </w:p>
        </w:tc>
        <w:tc>
          <w:tcPr>
            <w:tcW w:w="1302"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r>
      <w:tr>
        <w:tblPrEx>
          <w:tblCellMar>
            <w:top w:w="0" w:type="dxa"/>
            <w:left w:w="108" w:type="dxa"/>
            <w:bottom w:w="0" w:type="dxa"/>
            <w:right w:w="108" w:type="dxa"/>
          </w:tblCellMar>
        </w:tblPrEx>
        <w:trPr>
          <w:gridAfter w:val="1"/>
          <w:wAfter w:w="107" w:type="dxa"/>
          <w:trHeight w:val="659" w:hRule="atLeast"/>
        </w:trPr>
        <w:tc>
          <w:tcPr>
            <w:tcW w:w="730" w:type="dxa"/>
            <w:tcBorders>
              <w:top w:val="nil"/>
              <w:left w:val="single" w:color="auto" w:sz="4" w:space="0"/>
              <w:bottom w:val="single" w:color="auto" w:sz="4" w:space="0"/>
              <w:right w:val="single" w:color="auto" w:sz="4" w:space="0"/>
            </w:tcBorders>
            <w:shd w:val="clear" w:color="auto" w:fill="auto"/>
            <w:vAlign w:val="center"/>
          </w:tcPr>
          <w:p>
            <w:pPr>
              <w:widowControl/>
              <w:jc w:val="center"/>
              <w:rPr>
                <w:sz w:val="24"/>
                <w:szCs w:val="22"/>
              </w:rPr>
            </w:pPr>
            <w:r>
              <w:rPr>
                <w:rFonts w:hint="eastAsia"/>
                <w:sz w:val="24"/>
                <w:szCs w:val="22"/>
              </w:rPr>
              <w:t>6</w:t>
            </w:r>
          </w:p>
        </w:tc>
        <w:tc>
          <w:tcPr>
            <w:tcW w:w="1344" w:type="dxa"/>
            <w:gridSpan w:val="2"/>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343"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000"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094"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297" w:type="dxa"/>
            <w:tcBorders>
              <w:top w:val="nil"/>
              <w:left w:val="nil"/>
              <w:bottom w:val="single" w:color="auto" w:sz="4" w:space="0"/>
              <w:right w:val="single" w:color="auto" w:sz="4" w:space="0"/>
            </w:tcBorders>
            <w:shd w:val="clear" w:color="auto" w:fill="auto"/>
            <w:vAlign w:val="center"/>
          </w:tcPr>
          <w:p>
            <w:pPr>
              <w:widowControl/>
              <w:jc w:val="center"/>
              <w:textAlignment w:val="bottom"/>
              <w:rPr>
                <w:sz w:val="24"/>
                <w:szCs w:val="22"/>
              </w:rPr>
            </w:pPr>
          </w:p>
        </w:tc>
        <w:tc>
          <w:tcPr>
            <w:tcW w:w="1230" w:type="dxa"/>
            <w:tcBorders>
              <w:top w:val="nil"/>
              <w:left w:val="nil"/>
              <w:bottom w:val="single" w:color="auto" w:sz="4" w:space="0"/>
              <w:right w:val="single" w:color="auto" w:sz="4" w:space="0"/>
            </w:tcBorders>
            <w:shd w:val="clear" w:color="auto" w:fill="auto"/>
            <w:vAlign w:val="center"/>
          </w:tcPr>
          <w:p>
            <w:pPr>
              <w:widowControl/>
              <w:jc w:val="center"/>
              <w:textAlignment w:val="bottom"/>
              <w:rPr>
                <w:sz w:val="24"/>
                <w:szCs w:val="22"/>
              </w:rPr>
            </w:pPr>
          </w:p>
        </w:tc>
        <w:tc>
          <w:tcPr>
            <w:tcW w:w="1302"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r>
      <w:tr>
        <w:tblPrEx>
          <w:tblCellMar>
            <w:top w:w="0" w:type="dxa"/>
            <w:left w:w="108" w:type="dxa"/>
            <w:bottom w:w="0" w:type="dxa"/>
            <w:right w:w="108" w:type="dxa"/>
          </w:tblCellMar>
        </w:tblPrEx>
        <w:trPr>
          <w:gridAfter w:val="1"/>
          <w:wAfter w:w="107" w:type="dxa"/>
          <w:trHeight w:val="659" w:hRule="atLeast"/>
        </w:trPr>
        <w:tc>
          <w:tcPr>
            <w:tcW w:w="730" w:type="dxa"/>
            <w:tcBorders>
              <w:top w:val="nil"/>
              <w:left w:val="single" w:color="auto" w:sz="4" w:space="0"/>
              <w:bottom w:val="single" w:color="auto" w:sz="4" w:space="0"/>
              <w:right w:val="single" w:color="auto" w:sz="4" w:space="0"/>
            </w:tcBorders>
            <w:shd w:val="clear" w:color="auto" w:fill="auto"/>
            <w:vAlign w:val="center"/>
          </w:tcPr>
          <w:p>
            <w:pPr>
              <w:widowControl/>
              <w:jc w:val="center"/>
              <w:rPr>
                <w:sz w:val="24"/>
                <w:szCs w:val="22"/>
              </w:rPr>
            </w:pPr>
            <w:r>
              <w:rPr>
                <w:rFonts w:hint="eastAsia"/>
                <w:sz w:val="24"/>
                <w:szCs w:val="22"/>
              </w:rPr>
              <w:t>7</w:t>
            </w:r>
          </w:p>
        </w:tc>
        <w:tc>
          <w:tcPr>
            <w:tcW w:w="1344" w:type="dxa"/>
            <w:gridSpan w:val="2"/>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343"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000"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094"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c>
          <w:tcPr>
            <w:tcW w:w="1297" w:type="dxa"/>
            <w:tcBorders>
              <w:top w:val="nil"/>
              <w:left w:val="nil"/>
              <w:bottom w:val="single" w:color="auto" w:sz="4" w:space="0"/>
              <w:right w:val="single" w:color="auto" w:sz="4" w:space="0"/>
            </w:tcBorders>
            <w:shd w:val="clear" w:color="auto" w:fill="auto"/>
            <w:vAlign w:val="center"/>
          </w:tcPr>
          <w:p>
            <w:pPr>
              <w:widowControl/>
              <w:jc w:val="center"/>
              <w:textAlignment w:val="bottom"/>
              <w:rPr>
                <w:sz w:val="24"/>
                <w:szCs w:val="22"/>
              </w:rPr>
            </w:pPr>
          </w:p>
        </w:tc>
        <w:tc>
          <w:tcPr>
            <w:tcW w:w="1230" w:type="dxa"/>
            <w:tcBorders>
              <w:top w:val="nil"/>
              <w:left w:val="nil"/>
              <w:bottom w:val="single" w:color="auto" w:sz="4" w:space="0"/>
              <w:right w:val="single" w:color="auto" w:sz="4" w:space="0"/>
            </w:tcBorders>
            <w:shd w:val="clear" w:color="auto" w:fill="auto"/>
            <w:vAlign w:val="center"/>
          </w:tcPr>
          <w:p>
            <w:pPr>
              <w:widowControl/>
              <w:jc w:val="center"/>
              <w:textAlignment w:val="bottom"/>
              <w:rPr>
                <w:sz w:val="24"/>
                <w:szCs w:val="22"/>
              </w:rPr>
            </w:pPr>
          </w:p>
        </w:tc>
        <w:tc>
          <w:tcPr>
            <w:tcW w:w="1302" w:type="dxa"/>
            <w:tcBorders>
              <w:top w:val="nil"/>
              <w:left w:val="nil"/>
              <w:bottom w:val="single" w:color="auto" w:sz="4" w:space="0"/>
              <w:right w:val="single" w:color="auto" w:sz="4" w:space="0"/>
            </w:tcBorders>
            <w:shd w:val="clear" w:color="auto" w:fill="auto"/>
            <w:vAlign w:val="center"/>
          </w:tcPr>
          <w:p>
            <w:pPr>
              <w:widowControl/>
              <w:jc w:val="center"/>
              <w:rPr>
                <w:sz w:val="24"/>
                <w:szCs w:val="22"/>
              </w:rPr>
            </w:pPr>
          </w:p>
        </w:tc>
      </w:tr>
      <w:tr>
        <w:tblPrEx>
          <w:tblCellMar>
            <w:top w:w="0" w:type="dxa"/>
            <w:left w:w="108" w:type="dxa"/>
            <w:bottom w:w="0" w:type="dxa"/>
            <w:right w:w="108" w:type="dxa"/>
          </w:tblCellMar>
        </w:tblPrEx>
        <w:trPr>
          <w:gridAfter w:val="1"/>
          <w:wAfter w:w="107" w:type="dxa"/>
          <w:trHeight w:val="659" w:hRule="atLeast"/>
        </w:trPr>
        <w:tc>
          <w:tcPr>
            <w:tcW w:w="6808"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sz w:val="24"/>
                <w:szCs w:val="22"/>
              </w:rPr>
            </w:pPr>
            <w:r>
              <w:rPr>
                <w:rFonts w:hint="eastAsia" w:ascii="Times New Roman" w:hAnsi="Times New Roman" w:eastAsia="宋体" w:cs="宋体"/>
                <w:sz w:val="24"/>
                <w:szCs w:val="22"/>
              </w:rPr>
              <w:t>合计</w:t>
            </w:r>
          </w:p>
        </w:tc>
        <w:tc>
          <w:tcPr>
            <w:tcW w:w="25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sz w:val="24"/>
                <w:szCs w:val="22"/>
              </w:rPr>
            </w:pPr>
          </w:p>
        </w:tc>
      </w:tr>
      <w:tr>
        <w:tblPrEx>
          <w:tblCellMar>
            <w:top w:w="0" w:type="dxa"/>
            <w:left w:w="108" w:type="dxa"/>
            <w:bottom w:w="0" w:type="dxa"/>
            <w:right w:w="108" w:type="dxa"/>
          </w:tblCellMar>
        </w:tblPrEx>
        <w:trPr>
          <w:gridAfter w:val="1"/>
          <w:wAfter w:w="107" w:type="dxa"/>
          <w:trHeight w:val="1401" w:hRule="atLeast"/>
        </w:trPr>
        <w:tc>
          <w:tcPr>
            <w:tcW w:w="13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sz w:val="24"/>
                <w:szCs w:val="22"/>
              </w:rPr>
            </w:pPr>
            <w:r>
              <w:rPr>
                <w:rFonts w:hint="eastAsia" w:ascii="Times New Roman" w:hAnsi="Times New Roman" w:eastAsia="宋体" w:cs="宋体"/>
                <w:sz w:val="24"/>
                <w:szCs w:val="22"/>
              </w:rPr>
              <w:t>备注</w:t>
            </w:r>
          </w:p>
        </w:tc>
        <w:tc>
          <w:tcPr>
            <w:tcW w:w="7958"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sz w:val="24"/>
                <w:szCs w:val="22"/>
              </w:rPr>
            </w:pPr>
          </w:p>
        </w:tc>
      </w:tr>
    </w:tbl>
    <w:p>
      <w:pPr>
        <w:snapToGrid w:val="0"/>
        <w:spacing w:line="440" w:lineRule="atLeast"/>
        <w:ind w:left="480"/>
        <w:rPr>
          <w:bCs/>
          <w:kern w:val="0"/>
          <w:szCs w:val="21"/>
          <w:lang w:val="zh-CN"/>
        </w:rPr>
      </w:pPr>
      <w:r>
        <w:rPr>
          <w:rFonts w:hint="eastAsia" w:ascii="Times New Roman" w:hAnsi="Times New Roman" w:eastAsia="宋体" w:cs="宋体"/>
          <w:bCs/>
          <w:kern w:val="0"/>
          <w:szCs w:val="21"/>
          <w:lang w:val="zh-CN"/>
        </w:rPr>
        <w:t>注：</w:t>
      </w:r>
    </w:p>
    <w:p>
      <w:pPr>
        <w:snapToGrid w:val="0"/>
        <w:spacing w:line="440" w:lineRule="atLeast"/>
        <w:ind w:left="480"/>
        <w:rPr>
          <w:bCs/>
          <w:kern w:val="0"/>
          <w:szCs w:val="21"/>
        </w:rPr>
      </w:pPr>
      <w:r>
        <w:rPr>
          <w:rFonts w:ascii="Times New Roman" w:hAnsi="Times New Roman" w:eastAsia="宋体" w:cs="Times New Roman"/>
          <w:bCs/>
          <w:kern w:val="0"/>
          <w:szCs w:val="21"/>
        </w:rPr>
        <w:t>1</w:t>
      </w:r>
      <w:r>
        <w:rPr>
          <w:rFonts w:hint="eastAsia" w:ascii="Times New Roman" w:hAnsi="Times New Roman" w:eastAsia="宋体" w:cs="宋体"/>
          <w:bCs/>
          <w:kern w:val="0"/>
          <w:szCs w:val="21"/>
        </w:rPr>
        <w:t>、</w:t>
      </w:r>
      <w:r>
        <w:rPr>
          <w:rFonts w:hint="eastAsia" w:ascii="宋体" w:hAnsi="宋体" w:eastAsia="宋体" w:cs="宋体"/>
          <w:color w:val="000000"/>
          <w:szCs w:val="21"/>
        </w:rPr>
        <w:t>投标单位根据需求可自行修改或删除表格</w:t>
      </w:r>
    </w:p>
    <w:p>
      <w:pPr>
        <w:spacing w:line="440" w:lineRule="exact"/>
        <w:ind w:firstLine="420" w:firstLineChars="200"/>
        <w:jc w:val="left"/>
        <w:rPr>
          <w:bCs/>
          <w:szCs w:val="21"/>
        </w:rPr>
      </w:pPr>
      <w:r>
        <w:rPr>
          <w:rFonts w:ascii="Times New Roman" w:hAnsi="Times New Roman" w:eastAsia="宋体" w:cs="Times New Roman"/>
          <w:bCs/>
          <w:szCs w:val="21"/>
        </w:rPr>
        <w:t>2</w:t>
      </w:r>
      <w:r>
        <w:rPr>
          <w:rFonts w:hint="eastAsia" w:ascii="Times New Roman" w:hAnsi="Times New Roman" w:eastAsia="宋体" w:cs="宋体"/>
          <w:bCs/>
          <w:szCs w:val="21"/>
        </w:rPr>
        <w:t>、本报价表中的金额必须与投标函的投标总价一致。</w:t>
      </w:r>
    </w:p>
    <w:p>
      <w:pPr>
        <w:snapToGrid w:val="0"/>
        <w:spacing w:line="440" w:lineRule="atLeast"/>
        <w:rPr>
          <w:kern w:val="0"/>
          <w:sz w:val="24"/>
          <w:szCs w:val="22"/>
        </w:rPr>
      </w:pPr>
    </w:p>
    <w:p>
      <w:pPr>
        <w:spacing w:line="480" w:lineRule="auto"/>
        <w:ind w:firstLine="3255" w:firstLineChars="1550"/>
        <w:rPr>
          <w:szCs w:val="21"/>
        </w:rPr>
      </w:pPr>
      <w:r>
        <w:rPr>
          <w:rFonts w:hint="eastAsia" w:ascii="Times New Roman" w:hAnsi="Times New Roman" w:eastAsia="宋体" w:cs="宋体"/>
          <w:szCs w:val="21"/>
        </w:rPr>
        <w:t>投标人名称</w:t>
      </w:r>
      <w:r>
        <w:rPr>
          <w:rFonts w:hint="eastAsia" w:ascii="宋体" w:hAnsi="宋体" w:eastAsia="宋体" w:cs="宋体"/>
          <w:color w:val="000000"/>
          <w:szCs w:val="21"/>
        </w:rPr>
        <w:t>(盖单位章)</w:t>
      </w:r>
      <w:r>
        <w:rPr>
          <w:rFonts w:hint="eastAsia" w:ascii="Times New Roman" w:hAnsi="Times New Roman" w:eastAsia="宋体" w:cs="宋体"/>
          <w:szCs w:val="21"/>
        </w:rPr>
        <w:t>）：</w:t>
      </w:r>
    </w:p>
    <w:p>
      <w:pPr>
        <w:spacing w:line="480" w:lineRule="auto"/>
        <w:ind w:firstLine="2100" w:firstLineChars="1000"/>
        <w:rPr>
          <w:szCs w:val="21"/>
        </w:rPr>
      </w:pPr>
      <w:r>
        <w:rPr>
          <w:rFonts w:hint="eastAsia" w:ascii="Times New Roman" w:hAnsi="Times New Roman" w:eastAsia="宋体" w:cs="宋体"/>
          <w:szCs w:val="21"/>
        </w:rPr>
        <w:t>法定代表人或其授权代表（签字）：</w:t>
      </w:r>
    </w:p>
    <w:p>
      <w:pPr>
        <w:spacing w:line="480" w:lineRule="auto"/>
        <w:jc w:val="center"/>
        <w:rPr>
          <w:szCs w:val="21"/>
        </w:rPr>
      </w:pPr>
      <w:r>
        <w:rPr>
          <w:rFonts w:hint="eastAsia" w:ascii="Times New Roman" w:hAnsi="Times New Roman" w:eastAsia="宋体" w:cs="宋体"/>
          <w:szCs w:val="21"/>
        </w:rPr>
        <w:t>日期：年月日</w:t>
      </w:r>
    </w:p>
    <w:p>
      <w:pPr>
        <w:tabs>
          <w:tab w:val="left" w:pos="2878"/>
          <w:tab w:val="center" w:pos="4846"/>
        </w:tabs>
        <w:rPr>
          <w:rFonts w:ascii="宋体" w:hAnsi="宋体" w:eastAsia="宋体" w:cs="宋体"/>
          <w:b/>
          <w:color w:val="000000"/>
          <w:szCs w:val="21"/>
        </w:rPr>
      </w:pPr>
    </w:p>
    <w:p>
      <w:pPr>
        <w:jc w:val="center"/>
        <w:rPr>
          <w:rFonts w:ascii="宋体" w:hAnsi="宋体" w:eastAsia="宋体" w:cs="宋体"/>
          <w:b/>
          <w:color w:val="000000"/>
          <w:szCs w:val="21"/>
        </w:rPr>
      </w:pPr>
    </w:p>
    <w:p>
      <w:pPr>
        <w:jc w:val="center"/>
        <w:rPr>
          <w:rFonts w:ascii="宋体" w:hAnsi="宋体" w:eastAsia="宋体" w:cs="宋体"/>
          <w:b/>
          <w:color w:val="000000"/>
          <w:szCs w:val="21"/>
        </w:rPr>
      </w:pPr>
    </w:p>
    <w:p>
      <w:pPr>
        <w:jc w:val="center"/>
        <w:rPr>
          <w:rFonts w:ascii="宋体" w:hAnsi="宋体" w:eastAsia="宋体" w:cs="宋体"/>
          <w:b/>
          <w:color w:val="000000"/>
          <w:szCs w:val="21"/>
        </w:rPr>
      </w:pPr>
      <w:r>
        <w:rPr>
          <w:rFonts w:hint="eastAsia" w:ascii="宋体" w:hAnsi="宋体" w:eastAsia="宋体" w:cs="宋体"/>
          <w:b/>
          <w:color w:val="000000"/>
          <w:szCs w:val="21"/>
        </w:rPr>
        <w:t>八、技术规格和商务条款偏差表</w:t>
      </w:r>
    </w:p>
    <w:p>
      <w:pPr>
        <w:jc w:val="center"/>
        <w:rPr>
          <w:rFonts w:ascii="宋体" w:hAnsi="宋体" w:eastAsia="宋体" w:cs="宋体"/>
          <w:b/>
          <w:color w:val="000000"/>
          <w:szCs w:val="21"/>
        </w:rPr>
      </w:pPr>
    </w:p>
    <w:p>
      <w:pPr>
        <w:jc w:val="center"/>
        <w:rPr>
          <w:rFonts w:ascii="宋体" w:hAnsi="宋体" w:eastAsia="宋体" w:cs="宋体"/>
          <w:b/>
          <w:color w:val="000000"/>
          <w:szCs w:val="21"/>
        </w:rPr>
      </w:pPr>
    </w:p>
    <w:tbl>
      <w:tblPr>
        <w:tblStyle w:val="21"/>
        <w:tblW w:w="9210" w:type="dxa"/>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511"/>
        <w:gridCol w:w="3070"/>
        <w:gridCol w:w="1791"/>
        <w:gridCol w:w="2047"/>
        <w:gridCol w:w="1791"/>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331" w:hRule="atLeast"/>
        </w:trPr>
        <w:tc>
          <w:tcPr>
            <w:tcW w:w="5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序号</w:t>
            </w:r>
          </w:p>
        </w:tc>
        <w:tc>
          <w:tcPr>
            <w:tcW w:w="306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设备名称和条款号</w:t>
            </w:r>
          </w:p>
        </w:tc>
        <w:tc>
          <w:tcPr>
            <w:tcW w:w="38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技术参数及要求</w:t>
            </w:r>
          </w:p>
        </w:tc>
        <w:tc>
          <w:tcPr>
            <w:tcW w:w="179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bCs/>
                <w:color w:val="000000"/>
                <w:szCs w:val="21"/>
              </w:rPr>
              <w:t>响应或偏差情况说明</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331" w:hRule="atLeast"/>
        </w:trPr>
        <w:tc>
          <w:tcPr>
            <w:tcW w:w="51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Calibri" w:hAnsi="Calibri" w:eastAsia="宋体" w:cs="Times New Roman"/>
                <w:szCs w:val="22"/>
              </w:rPr>
            </w:pPr>
          </w:p>
        </w:tc>
        <w:tc>
          <w:tcPr>
            <w:tcW w:w="30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Calibri" w:hAnsi="Calibri" w:eastAsia="宋体" w:cs="Times New Roman"/>
                <w:szCs w:val="22"/>
              </w:rPr>
            </w:pPr>
          </w:p>
        </w:tc>
        <w:tc>
          <w:tcPr>
            <w:tcW w:w="17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招标文件要求</w:t>
            </w:r>
          </w:p>
        </w:tc>
        <w:tc>
          <w:tcPr>
            <w:tcW w:w="20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r>
              <w:rPr>
                <w:rFonts w:hint="eastAsia" w:ascii="宋体" w:hAnsi="宋体" w:eastAsia="宋体" w:cs="宋体"/>
                <w:color w:val="000000"/>
                <w:szCs w:val="21"/>
              </w:rPr>
              <w:t>投标文件表述</w:t>
            </w:r>
          </w:p>
        </w:tc>
        <w:tc>
          <w:tcPr>
            <w:tcW w:w="179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Calibri" w:hAnsi="Calibri" w:eastAsia="宋体" w:cs="Times New Roman"/>
                <w:szCs w:val="22"/>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63" w:hRule="atLeast"/>
        </w:trPr>
        <w:tc>
          <w:tcPr>
            <w:tcW w:w="51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306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204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63" w:hRule="atLeast"/>
        </w:trPr>
        <w:tc>
          <w:tcPr>
            <w:tcW w:w="51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306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204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63" w:hRule="atLeast"/>
        </w:trPr>
        <w:tc>
          <w:tcPr>
            <w:tcW w:w="51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306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204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63" w:hRule="atLeast"/>
        </w:trPr>
        <w:tc>
          <w:tcPr>
            <w:tcW w:w="51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306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204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76" w:hRule="atLeast"/>
        </w:trPr>
        <w:tc>
          <w:tcPr>
            <w:tcW w:w="51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306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204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63" w:hRule="atLeast"/>
        </w:trPr>
        <w:tc>
          <w:tcPr>
            <w:tcW w:w="51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306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204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63" w:hRule="atLeast"/>
        </w:trPr>
        <w:tc>
          <w:tcPr>
            <w:tcW w:w="51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306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204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63" w:hRule="atLeast"/>
        </w:trPr>
        <w:tc>
          <w:tcPr>
            <w:tcW w:w="51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306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204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63" w:hRule="atLeast"/>
        </w:trPr>
        <w:tc>
          <w:tcPr>
            <w:tcW w:w="51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306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204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76" w:hRule="atLeast"/>
        </w:trPr>
        <w:tc>
          <w:tcPr>
            <w:tcW w:w="51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Cs w:val="21"/>
              </w:rPr>
            </w:pPr>
          </w:p>
        </w:tc>
        <w:tc>
          <w:tcPr>
            <w:tcW w:w="306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204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63" w:hRule="atLeast"/>
        </w:trPr>
        <w:tc>
          <w:tcPr>
            <w:tcW w:w="511"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306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firstLineChars="200"/>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204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63" w:hRule="atLeast"/>
        </w:trPr>
        <w:tc>
          <w:tcPr>
            <w:tcW w:w="511"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306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204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63" w:hRule="atLeast"/>
        </w:trPr>
        <w:tc>
          <w:tcPr>
            <w:tcW w:w="511"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306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204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76" w:hRule="atLeast"/>
        </w:trPr>
        <w:tc>
          <w:tcPr>
            <w:tcW w:w="511"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3068"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204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c>
          <w:tcPr>
            <w:tcW w:w="1790"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rPr>
                <w:rFonts w:ascii="宋体" w:hAnsi="宋体" w:eastAsia="宋体" w:cs="宋体"/>
                <w:color w:val="000000"/>
                <w:szCs w:val="21"/>
              </w:rPr>
            </w:pPr>
          </w:p>
        </w:tc>
      </w:tr>
    </w:tbl>
    <w:p>
      <w:pPr>
        <w:spacing w:line="360" w:lineRule="auto"/>
        <w:rPr>
          <w:rFonts w:ascii="宋体" w:hAnsi="宋体" w:eastAsia="宋体" w:cs="宋体"/>
          <w:color w:val="000000"/>
          <w:szCs w:val="21"/>
        </w:rPr>
      </w:pPr>
      <w:r>
        <w:rPr>
          <w:rFonts w:hint="eastAsia" w:ascii="宋体" w:hAnsi="宋体" w:eastAsia="宋体" w:cs="宋体"/>
          <w:color w:val="000000"/>
          <w:szCs w:val="21"/>
        </w:rPr>
        <w:t>注明： 1、投标单位根据需求可自行修改或删除表格</w:t>
      </w:r>
    </w:p>
    <w:p>
      <w:pPr>
        <w:adjustRightInd w:val="0"/>
        <w:snapToGrid w:val="0"/>
        <w:spacing w:line="360" w:lineRule="auto"/>
        <w:rPr>
          <w:rFonts w:ascii="宋体" w:hAnsi="宋体" w:eastAsia="宋体" w:cs="宋体"/>
          <w:color w:val="000000"/>
          <w:szCs w:val="21"/>
        </w:rPr>
      </w:pPr>
    </w:p>
    <w:p>
      <w:pPr>
        <w:spacing w:line="360" w:lineRule="auto"/>
        <w:ind w:firstLine="409" w:firstLineChars="195"/>
        <w:jc w:val="center"/>
        <w:rPr>
          <w:rFonts w:ascii="宋体" w:hAnsi="宋体" w:eastAsia="宋体" w:cs="宋体"/>
          <w:color w:val="000000"/>
          <w:szCs w:val="21"/>
          <w:u w:val="single"/>
        </w:rPr>
      </w:pPr>
      <w:r>
        <w:rPr>
          <w:rFonts w:hint="eastAsia" w:ascii="宋体" w:hAnsi="宋体" w:eastAsia="宋体" w:cs="宋体"/>
          <w:color w:val="000000"/>
          <w:szCs w:val="21"/>
        </w:rPr>
        <w:t>投标人：(盖单位章)</w:t>
      </w:r>
    </w:p>
    <w:p>
      <w:pPr>
        <w:spacing w:line="360" w:lineRule="auto"/>
        <w:ind w:right="420" w:firstLine="409" w:firstLineChars="195"/>
        <w:jc w:val="center"/>
        <w:rPr>
          <w:rFonts w:ascii="宋体" w:hAnsi="宋体" w:eastAsia="宋体" w:cs="宋体"/>
          <w:color w:val="000000"/>
          <w:szCs w:val="21"/>
        </w:rPr>
      </w:pPr>
      <w:r>
        <w:rPr>
          <w:rFonts w:hint="eastAsia" w:ascii="宋体" w:hAnsi="宋体" w:eastAsia="宋体" w:cs="宋体"/>
          <w:color w:val="000000"/>
          <w:szCs w:val="21"/>
        </w:rPr>
        <w:t xml:space="preserve">                          法定代表人或授权委托人（签字或盖章）： </w:t>
      </w:r>
    </w:p>
    <w:p>
      <w:pPr>
        <w:spacing w:line="360" w:lineRule="auto"/>
        <w:ind w:right="420" w:firstLine="409" w:firstLineChars="195"/>
        <w:jc w:val="center"/>
        <w:rPr>
          <w:rFonts w:ascii="宋体" w:hAnsi="宋体" w:eastAsia="宋体" w:cs="宋体"/>
          <w:color w:val="000000"/>
          <w:szCs w:val="21"/>
        </w:rPr>
      </w:pPr>
    </w:p>
    <w:p>
      <w:pPr>
        <w:spacing w:line="360" w:lineRule="auto"/>
        <w:ind w:right="420" w:firstLine="409" w:firstLineChars="195"/>
        <w:jc w:val="center"/>
        <w:rPr>
          <w:rFonts w:ascii="宋体" w:hAnsi="宋体" w:eastAsia="宋体" w:cs="宋体"/>
          <w:color w:val="000000"/>
          <w:szCs w:val="21"/>
        </w:rPr>
      </w:pPr>
      <w:r>
        <w:rPr>
          <w:rFonts w:hint="eastAsia" w:ascii="宋体" w:hAnsi="宋体" w:eastAsia="宋体" w:cs="宋体"/>
          <w:color w:val="000000"/>
          <w:szCs w:val="21"/>
        </w:rPr>
        <w:t>日期：年月日</w:t>
      </w:r>
    </w:p>
    <w:p>
      <w:pPr>
        <w:spacing w:line="400" w:lineRule="exact"/>
        <w:rPr>
          <w:rFonts w:ascii="宋体" w:hAnsi="宋体" w:eastAsia="宋体" w:cs="宋体"/>
          <w:b/>
          <w:color w:val="000000"/>
          <w:szCs w:val="21"/>
        </w:rPr>
      </w:pPr>
    </w:p>
    <w:p>
      <w:pPr>
        <w:spacing w:line="400" w:lineRule="exact"/>
        <w:rPr>
          <w:rFonts w:ascii="宋体" w:hAnsi="宋体" w:eastAsia="宋体" w:cs="宋体"/>
          <w:b/>
          <w:color w:val="000000"/>
          <w:szCs w:val="21"/>
        </w:rPr>
      </w:pPr>
    </w:p>
    <w:p>
      <w:pPr>
        <w:spacing w:line="400" w:lineRule="exact"/>
        <w:rPr>
          <w:rFonts w:ascii="宋体" w:hAnsi="宋体" w:eastAsia="宋体" w:cs="宋体"/>
          <w:b/>
          <w:color w:val="000000"/>
          <w:szCs w:val="21"/>
        </w:rPr>
      </w:pPr>
    </w:p>
    <w:p>
      <w:pPr>
        <w:spacing w:line="400" w:lineRule="exact"/>
        <w:rPr>
          <w:rFonts w:ascii="宋体" w:hAnsi="宋体" w:eastAsia="宋体" w:cs="宋体"/>
          <w:b/>
          <w:color w:val="000000"/>
          <w:szCs w:val="21"/>
        </w:rPr>
      </w:pPr>
    </w:p>
    <w:p>
      <w:pPr>
        <w:spacing w:line="400" w:lineRule="exact"/>
        <w:rPr>
          <w:rFonts w:ascii="宋体" w:hAnsi="宋体" w:eastAsia="宋体" w:cs="宋体"/>
          <w:b/>
          <w:color w:val="000000"/>
          <w:szCs w:val="21"/>
        </w:rPr>
      </w:pPr>
    </w:p>
    <w:p>
      <w:pPr>
        <w:tabs>
          <w:tab w:val="left" w:pos="2878"/>
          <w:tab w:val="center" w:pos="4846"/>
        </w:tabs>
        <w:ind w:firstLine="3162" w:firstLineChars="1500"/>
        <w:rPr>
          <w:rFonts w:ascii="宋体" w:hAnsi="宋体" w:eastAsia="宋体" w:cs="宋体"/>
          <w:b/>
          <w:color w:val="000000"/>
          <w:szCs w:val="21"/>
        </w:rPr>
      </w:pPr>
    </w:p>
    <w:p>
      <w:pPr>
        <w:tabs>
          <w:tab w:val="left" w:pos="2878"/>
          <w:tab w:val="center" w:pos="4846"/>
        </w:tabs>
        <w:ind w:firstLine="3162" w:firstLineChars="1500"/>
        <w:rPr>
          <w:rFonts w:ascii="宋体" w:hAnsi="宋体" w:eastAsia="宋体" w:cs="宋体"/>
          <w:b/>
          <w:color w:val="000000"/>
          <w:szCs w:val="21"/>
        </w:rPr>
      </w:pPr>
      <w:r>
        <w:rPr>
          <w:rFonts w:hint="eastAsia" w:ascii="宋体" w:hAnsi="宋体" w:eastAsia="宋体" w:cs="宋体"/>
          <w:b/>
          <w:color w:val="000000"/>
          <w:szCs w:val="21"/>
        </w:rPr>
        <w:t>九、反商业贿赂承诺书</w:t>
      </w:r>
      <w:bookmarkEnd w:id="141"/>
    </w:p>
    <w:p>
      <w:pPr>
        <w:rPr>
          <w:rFonts w:ascii="宋体" w:hAnsi="宋体" w:eastAsia="宋体" w:cs="宋体"/>
          <w:b/>
          <w:color w:val="000000"/>
          <w:szCs w:val="21"/>
        </w:rPr>
      </w:pPr>
    </w:p>
    <w:p>
      <w:pPr>
        <w:pStyle w:val="29"/>
        <w:spacing w:line="360" w:lineRule="auto"/>
        <w:rPr>
          <w:rFonts w:ascii="宋体" w:hAnsi="宋体" w:eastAsia="宋体" w:cs="宋体"/>
          <w:color w:val="000000"/>
          <w:kern w:val="2"/>
          <w:sz w:val="21"/>
          <w:szCs w:val="21"/>
        </w:rPr>
      </w:pPr>
      <w:r>
        <w:rPr>
          <w:rFonts w:hint="eastAsia" w:ascii="宋体" w:hAnsi="宋体" w:eastAsia="宋体" w:cs="宋体"/>
          <w:color w:val="000000"/>
          <w:kern w:val="2"/>
          <w:sz w:val="21"/>
          <w:szCs w:val="21"/>
        </w:rPr>
        <w:t>我公司承诺：</w:t>
      </w:r>
    </w:p>
    <w:p>
      <w:pPr>
        <w:pStyle w:val="29"/>
        <w:spacing w:line="360" w:lineRule="auto"/>
        <w:rPr>
          <w:rFonts w:ascii="宋体" w:hAnsi="宋体" w:eastAsia="宋体" w:cs="宋体"/>
          <w:color w:val="000000"/>
          <w:kern w:val="2"/>
          <w:sz w:val="21"/>
          <w:szCs w:val="21"/>
        </w:rPr>
      </w:pPr>
      <w:r>
        <w:rPr>
          <w:rFonts w:hint="eastAsia" w:ascii="宋体" w:hAnsi="宋体" w:eastAsia="宋体" w:cs="宋体"/>
          <w:color w:val="000000"/>
          <w:kern w:val="2"/>
          <w:sz w:val="21"/>
          <w:szCs w:val="21"/>
        </w:rPr>
        <w:t xml:space="preserve">在 </w:t>
      </w:r>
      <w:r>
        <w:rPr>
          <w:rFonts w:hint="eastAsia" w:ascii="宋体" w:hAnsi="宋体" w:eastAsia="宋体" w:cs="宋体"/>
          <w:color w:val="000000"/>
          <w:kern w:val="2"/>
          <w:sz w:val="21"/>
          <w:szCs w:val="21"/>
          <w:u w:val="single"/>
        </w:rPr>
        <w:t>　　　　　</w:t>
      </w:r>
      <w:r>
        <w:rPr>
          <w:rFonts w:hint="eastAsia" w:ascii="宋体" w:hAnsi="宋体" w:eastAsia="宋体" w:cs="宋体"/>
          <w:color w:val="000000"/>
          <w:kern w:val="2"/>
          <w:sz w:val="21"/>
          <w:szCs w:val="21"/>
        </w:rPr>
        <w:t>（投标项目名称）招标活动中，我公司保证做到：</w:t>
      </w:r>
    </w:p>
    <w:p>
      <w:pPr>
        <w:pStyle w:val="29"/>
        <w:spacing w:line="360" w:lineRule="auto"/>
        <w:rPr>
          <w:rFonts w:ascii="宋体" w:hAnsi="宋体" w:eastAsia="宋体" w:cs="宋体"/>
          <w:color w:val="000000"/>
          <w:kern w:val="2"/>
          <w:sz w:val="21"/>
          <w:szCs w:val="21"/>
        </w:rPr>
      </w:pPr>
      <w:r>
        <w:rPr>
          <w:rFonts w:hint="eastAsia" w:ascii="宋体" w:hAnsi="宋体" w:eastAsia="宋体" w:cs="宋体"/>
          <w:color w:val="000000"/>
          <w:kern w:val="2"/>
          <w:sz w:val="21"/>
          <w:szCs w:val="21"/>
        </w:rPr>
        <w:t>一、公平竞争参加本次招标活动。</w:t>
      </w:r>
    </w:p>
    <w:p>
      <w:pPr>
        <w:pStyle w:val="29"/>
        <w:spacing w:line="360" w:lineRule="auto"/>
        <w:rPr>
          <w:rFonts w:ascii="宋体" w:hAnsi="宋体" w:eastAsia="宋体" w:cs="宋体"/>
          <w:color w:val="000000"/>
          <w:kern w:val="2"/>
          <w:sz w:val="21"/>
          <w:szCs w:val="21"/>
        </w:rPr>
      </w:pPr>
      <w:r>
        <w:rPr>
          <w:rFonts w:hint="eastAsia" w:ascii="宋体" w:hAnsi="宋体" w:eastAsia="宋体" w:cs="宋体"/>
          <w:color w:val="000000"/>
          <w:kern w:val="2"/>
          <w:sz w:val="21"/>
          <w:szCs w:val="21"/>
        </w:rPr>
        <w:t>二、杜绝任何形式的商业贿赂行为。不向国家工作人员、政府采购代理机构工作人员、评审专家及其亲属提供礼品礼金、有价证券、购物券、回扣、佣金、咨询费、劳务费、赞助费、宣传费、宴请；不为其报销各种消费凭证，不支付其旅游、娱乐等费用。</w:t>
      </w:r>
    </w:p>
    <w:p>
      <w:pPr>
        <w:pStyle w:val="29"/>
        <w:spacing w:line="360" w:lineRule="auto"/>
        <w:rPr>
          <w:rFonts w:ascii="宋体" w:hAnsi="宋体" w:eastAsia="宋体" w:cs="宋体"/>
          <w:color w:val="000000"/>
          <w:kern w:val="2"/>
          <w:sz w:val="21"/>
          <w:szCs w:val="21"/>
        </w:rPr>
      </w:pPr>
      <w:r>
        <w:rPr>
          <w:rFonts w:hint="eastAsia" w:ascii="宋体" w:hAnsi="宋体" w:eastAsia="宋体" w:cs="宋体"/>
          <w:color w:val="000000"/>
          <w:kern w:val="2"/>
          <w:sz w:val="21"/>
          <w:szCs w:val="21"/>
        </w:rPr>
        <w:t>三、若出现上述行为，我公司及参与投标的工作人员愿意接受按照国家法律法规等有关规定给予的处罚。</w:t>
      </w:r>
    </w:p>
    <w:p>
      <w:pPr>
        <w:pStyle w:val="29"/>
        <w:spacing w:line="360" w:lineRule="auto"/>
        <w:rPr>
          <w:rFonts w:ascii="宋体" w:hAnsi="宋体" w:eastAsia="宋体" w:cs="宋体"/>
          <w:color w:val="000000"/>
          <w:kern w:val="2"/>
          <w:sz w:val="21"/>
          <w:szCs w:val="21"/>
        </w:rPr>
      </w:pPr>
    </w:p>
    <w:p>
      <w:pPr>
        <w:spacing w:line="360" w:lineRule="auto"/>
        <w:ind w:firstLine="409" w:firstLineChars="195"/>
        <w:jc w:val="center"/>
        <w:rPr>
          <w:rFonts w:ascii="宋体" w:hAnsi="宋体" w:eastAsia="宋体" w:cs="宋体"/>
          <w:color w:val="000000"/>
          <w:szCs w:val="21"/>
          <w:u w:val="single"/>
        </w:rPr>
      </w:pPr>
      <w:r>
        <w:rPr>
          <w:rFonts w:hint="eastAsia" w:ascii="宋体" w:hAnsi="宋体" w:eastAsia="宋体" w:cs="宋体"/>
          <w:color w:val="000000"/>
          <w:szCs w:val="21"/>
        </w:rPr>
        <w:t xml:space="preserve">                    投  标  人：</w:t>
      </w:r>
      <w:r>
        <w:rPr>
          <w:rFonts w:hint="eastAsia" w:ascii="宋体" w:hAnsi="宋体" w:eastAsia="宋体" w:cs="宋体"/>
          <w:color w:val="000000"/>
          <w:szCs w:val="21"/>
          <w:u w:val="single"/>
        </w:rPr>
        <w:t xml:space="preserve">                    （盖章）</w:t>
      </w:r>
    </w:p>
    <w:p>
      <w:pPr>
        <w:spacing w:line="360" w:lineRule="auto"/>
        <w:ind w:firstLine="409" w:firstLineChars="195"/>
        <w:jc w:val="center"/>
        <w:rPr>
          <w:rFonts w:ascii="宋体" w:hAnsi="宋体" w:eastAsia="宋体" w:cs="宋体"/>
          <w:color w:val="000000"/>
          <w:szCs w:val="21"/>
          <w:u w:val="single"/>
        </w:rPr>
      </w:pPr>
    </w:p>
    <w:p>
      <w:pPr>
        <w:spacing w:line="360" w:lineRule="auto"/>
        <w:ind w:right="420" w:firstLine="409" w:firstLineChars="195"/>
        <w:jc w:val="center"/>
        <w:rPr>
          <w:rFonts w:ascii="宋体" w:hAnsi="宋体" w:eastAsia="宋体" w:cs="宋体"/>
          <w:color w:val="000000"/>
          <w:szCs w:val="21"/>
          <w:u w:val="single"/>
        </w:rPr>
      </w:pPr>
      <w:r>
        <w:rPr>
          <w:rFonts w:hint="eastAsia" w:ascii="宋体" w:hAnsi="宋体" w:eastAsia="宋体" w:cs="宋体"/>
          <w:color w:val="000000"/>
          <w:szCs w:val="21"/>
        </w:rPr>
        <w:t>法定代表人(或授权委托人)：</w:t>
      </w:r>
      <w:r>
        <w:rPr>
          <w:rFonts w:hint="eastAsia" w:ascii="宋体" w:hAnsi="宋体" w:eastAsia="宋体" w:cs="宋体"/>
          <w:color w:val="000000"/>
          <w:szCs w:val="21"/>
          <w:u w:val="single"/>
        </w:rPr>
        <w:t>（签字或盖章）</w:t>
      </w:r>
    </w:p>
    <w:p>
      <w:pPr>
        <w:spacing w:line="360" w:lineRule="auto"/>
        <w:ind w:right="420" w:firstLine="409" w:firstLineChars="195"/>
        <w:jc w:val="center"/>
        <w:rPr>
          <w:rFonts w:ascii="宋体" w:hAnsi="宋体" w:eastAsia="宋体" w:cs="宋体"/>
          <w:color w:val="000000"/>
          <w:szCs w:val="21"/>
          <w:u w:val="single"/>
        </w:rPr>
      </w:pPr>
    </w:p>
    <w:p>
      <w:pPr>
        <w:spacing w:line="500" w:lineRule="exact"/>
        <w:ind w:firstLine="411" w:firstLineChars="196"/>
        <w:jc w:val="center"/>
        <w:rPr>
          <w:rFonts w:ascii="宋体" w:hAnsi="宋体" w:eastAsia="宋体" w:cs="宋体"/>
          <w:color w:val="000000"/>
          <w:szCs w:val="21"/>
        </w:rPr>
      </w:pPr>
      <w:r>
        <w:rPr>
          <w:rFonts w:hint="eastAsia" w:ascii="宋体" w:hAnsi="宋体" w:eastAsia="宋体" w:cs="宋体"/>
          <w:color w:val="000000"/>
          <w:szCs w:val="21"/>
        </w:rPr>
        <w:t>日      期：年月日</w:t>
      </w:r>
    </w:p>
    <w:p>
      <w:pPr>
        <w:pStyle w:val="29"/>
        <w:spacing w:line="360" w:lineRule="auto"/>
        <w:rPr>
          <w:rFonts w:ascii="宋体" w:hAnsi="宋体" w:eastAsia="宋体" w:cs="宋体"/>
          <w:color w:val="000000"/>
          <w:sz w:val="21"/>
          <w:szCs w:val="21"/>
        </w:rPr>
      </w:pPr>
    </w:p>
    <w:p>
      <w:pPr>
        <w:pStyle w:val="29"/>
        <w:spacing w:line="360" w:lineRule="auto"/>
        <w:rPr>
          <w:rFonts w:ascii="宋体" w:hAnsi="宋体" w:eastAsia="宋体" w:cs="宋体"/>
          <w:color w:val="000000"/>
          <w:sz w:val="21"/>
          <w:szCs w:val="21"/>
        </w:rPr>
      </w:pPr>
    </w:p>
    <w:p>
      <w:pPr>
        <w:pStyle w:val="29"/>
        <w:spacing w:line="360" w:lineRule="auto"/>
        <w:rPr>
          <w:rFonts w:ascii="宋体" w:hAnsi="宋体" w:eastAsia="宋体" w:cs="宋体"/>
          <w:color w:val="000000"/>
          <w:sz w:val="21"/>
          <w:szCs w:val="21"/>
        </w:rPr>
      </w:pPr>
    </w:p>
    <w:p>
      <w:pPr>
        <w:pStyle w:val="29"/>
        <w:spacing w:line="360" w:lineRule="auto"/>
        <w:rPr>
          <w:rFonts w:ascii="宋体" w:hAnsi="宋体" w:eastAsia="宋体" w:cs="宋体"/>
          <w:color w:val="000000"/>
          <w:sz w:val="21"/>
          <w:szCs w:val="21"/>
        </w:rPr>
      </w:pPr>
    </w:p>
    <w:bookmarkEnd w:id="142"/>
    <w:p>
      <w:pPr>
        <w:pStyle w:val="29"/>
        <w:spacing w:line="360" w:lineRule="auto"/>
        <w:rPr>
          <w:rFonts w:ascii="宋体" w:hAnsi="宋体" w:eastAsia="宋体" w:cs="宋体"/>
          <w:color w:val="000000"/>
          <w:sz w:val="21"/>
          <w:szCs w:val="21"/>
        </w:rPr>
      </w:pPr>
    </w:p>
    <w:p>
      <w:pPr>
        <w:pStyle w:val="29"/>
        <w:spacing w:line="360" w:lineRule="auto"/>
        <w:rPr>
          <w:rFonts w:ascii="宋体" w:hAnsi="宋体" w:eastAsia="宋体" w:cs="宋体"/>
          <w:color w:val="000000"/>
          <w:sz w:val="21"/>
          <w:szCs w:val="21"/>
        </w:rPr>
      </w:pPr>
    </w:p>
    <w:p>
      <w:pPr>
        <w:pStyle w:val="29"/>
        <w:spacing w:line="360" w:lineRule="auto"/>
        <w:rPr>
          <w:rFonts w:ascii="宋体" w:hAnsi="宋体" w:eastAsia="宋体" w:cs="宋体"/>
          <w:color w:val="000000"/>
          <w:sz w:val="21"/>
          <w:szCs w:val="21"/>
        </w:rPr>
      </w:pPr>
    </w:p>
    <w:p>
      <w:pPr>
        <w:pStyle w:val="29"/>
        <w:spacing w:line="360" w:lineRule="auto"/>
        <w:rPr>
          <w:rFonts w:ascii="宋体" w:hAnsi="宋体" w:eastAsia="宋体" w:cs="宋体"/>
          <w:color w:val="000000"/>
          <w:sz w:val="21"/>
          <w:szCs w:val="21"/>
        </w:rPr>
      </w:pPr>
    </w:p>
    <w:p>
      <w:pPr>
        <w:pStyle w:val="29"/>
        <w:spacing w:line="360" w:lineRule="auto"/>
        <w:rPr>
          <w:rFonts w:ascii="宋体" w:hAnsi="宋体" w:eastAsia="宋体" w:cs="宋体"/>
          <w:color w:val="000000"/>
          <w:sz w:val="21"/>
          <w:szCs w:val="21"/>
        </w:rPr>
      </w:pPr>
    </w:p>
    <w:p>
      <w:pPr>
        <w:pStyle w:val="29"/>
        <w:spacing w:line="360" w:lineRule="auto"/>
        <w:rPr>
          <w:rFonts w:ascii="宋体" w:hAnsi="宋体" w:eastAsia="宋体" w:cs="宋体"/>
          <w:color w:val="000000"/>
          <w:sz w:val="21"/>
          <w:szCs w:val="21"/>
        </w:rPr>
      </w:pPr>
    </w:p>
    <w:p>
      <w:pPr>
        <w:pStyle w:val="29"/>
        <w:spacing w:line="360" w:lineRule="auto"/>
        <w:rPr>
          <w:rFonts w:ascii="宋体" w:hAnsi="宋体" w:eastAsia="宋体" w:cs="宋体"/>
          <w:color w:val="000000"/>
          <w:sz w:val="21"/>
          <w:szCs w:val="21"/>
        </w:rPr>
      </w:pPr>
    </w:p>
    <w:p>
      <w:pPr>
        <w:pStyle w:val="29"/>
        <w:spacing w:line="360" w:lineRule="auto"/>
        <w:rPr>
          <w:rFonts w:ascii="宋体" w:hAnsi="宋体" w:eastAsia="宋体" w:cs="宋体"/>
          <w:color w:val="000000"/>
          <w:sz w:val="21"/>
          <w:szCs w:val="21"/>
        </w:rPr>
      </w:pPr>
    </w:p>
    <w:bookmarkEnd w:id="143"/>
    <w:bookmarkEnd w:id="144"/>
    <w:p>
      <w:pPr>
        <w:spacing w:line="360" w:lineRule="auto"/>
        <w:ind w:firstLine="420" w:firstLineChars="200"/>
        <w:rPr>
          <w:rFonts w:ascii="宋体" w:hAnsi="宋体" w:eastAsia="宋体" w:cs="宋体"/>
          <w:bCs/>
          <w:color w:val="000000"/>
          <w:szCs w:val="21"/>
        </w:rPr>
      </w:pPr>
    </w:p>
    <w:p>
      <w:pPr>
        <w:spacing w:line="360" w:lineRule="auto"/>
        <w:ind w:firstLine="420" w:firstLineChars="200"/>
        <w:rPr>
          <w:rFonts w:ascii="宋体" w:hAnsi="宋体" w:eastAsia="宋体" w:cs="宋体"/>
          <w:bCs/>
          <w:color w:val="000000"/>
          <w:szCs w:val="21"/>
        </w:rPr>
      </w:pPr>
    </w:p>
    <w:p>
      <w:pPr>
        <w:spacing w:line="400" w:lineRule="exact"/>
        <w:jc w:val="center"/>
        <w:outlineLvl w:val="1"/>
        <w:rPr>
          <w:rFonts w:ascii="宋体" w:hAnsi="宋体" w:eastAsia="宋体" w:cs="宋体"/>
          <w:b/>
          <w:color w:val="000000"/>
          <w:szCs w:val="21"/>
        </w:rPr>
      </w:pPr>
      <w:bookmarkStart w:id="147" w:name="_Toc31648122"/>
      <w:bookmarkStart w:id="148" w:name="_Toc10095"/>
      <w:bookmarkStart w:id="149" w:name="_Hlk528843734"/>
      <w:r>
        <w:rPr>
          <w:rFonts w:hint="eastAsia" w:ascii="宋体" w:hAnsi="宋体" w:eastAsia="宋体" w:cs="宋体"/>
          <w:b/>
          <w:color w:val="000000"/>
          <w:szCs w:val="21"/>
        </w:rPr>
        <w:t>十</w:t>
      </w:r>
      <w:r>
        <w:rPr>
          <w:rFonts w:hint="eastAsia" w:ascii="宋体" w:hAnsi="宋体" w:eastAsia="宋体" w:cs="宋体"/>
          <w:b/>
          <w:bCs/>
          <w:color w:val="000000"/>
          <w:szCs w:val="21"/>
        </w:rPr>
        <w:t>、谈判文件要求的其它材料及谈判人认为有必要提供的材料</w:t>
      </w:r>
      <w:bookmarkEnd w:id="145"/>
      <w:bookmarkEnd w:id="146"/>
      <w:bookmarkEnd w:id="147"/>
      <w:bookmarkEnd w:id="148"/>
    </w:p>
    <w:bookmarkEnd w:id="149"/>
    <w:p>
      <w:pPr>
        <w:spacing w:line="400" w:lineRule="exact"/>
        <w:jc w:val="center"/>
        <w:rPr>
          <w:rFonts w:ascii="宋体" w:hAnsi="宋体" w:eastAsia="宋体" w:cs="宋体"/>
          <w:b/>
          <w:color w:val="000000"/>
          <w:szCs w:val="21"/>
        </w:rPr>
      </w:pPr>
    </w:p>
    <w:p>
      <w:pPr>
        <w:pStyle w:val="20"/>
        <w:widowControl/>
        <w:tabs>
          <w:tab w:val="left" w:pos="5250"/>
        </w:tabs>
        <w:ind w:firstLine="211"/>
        <w:jc w:val="center"/>
        <w:rPr>
          <w:b/>
          <w:lang w:val="zh-CN"/>
        </w:rPr>
      </w:pPr>
      <w:r>
        <w:rPr>
          <w:b/>
        </w:rPr>
        <w:t xml:space="preserve">1. </w:t>
      </w:r>
      <w:r>
        <w:rPr>
          <w:rFonts w:hint="eastAsia" w:cs="宋体"/>
          <w:b/>
          <w:lang w:val="zh-CN"/>
        </w:rPr>
        <w:t>承诺书</w:t>
      </w:r>
    </w:p>
    <w:p>
      <w:pPr>
        <w:pStyle w:val="20"/>
        <w:widowControl/>
        <w:tabs>
          <w:tab w:val="left" w:pos="5250"/>
        </w:tabs>
        <w:ind w:firstLine="211"/>
        <w:jc w:val="center"/>
        <w:rPr>
          <w:b/>
          <w:szCs w:val="21"/>
          <w:lang w:val="zh-CN"/>
        </w:rPr>
      </w:pPr>
    </w:p>
    <w:p>
      <w:pPr>
        <w:autoSpaceDE w:val="0"/>
        <w:autoSpaceDN w:val="0"/>
        <w:adjustRightInd w:val="0"/>
        <w:spacing w:line="360" w:lineRule="auto"/>
        <w:ind w:firstLine="420" w:firstLineChars="200"/>
        <w:rPr>
          <w:szCs w:val="21"/>
        </w:rPr>
      </w:pPr>
      <w:r>
        <w:rPr>
          <w:rFonts w:hint="eastAsia" w:ascii="Calibri" w:hAnsi="Calibri" w:eastAsia="宋体" w:cs="宋体"/>
          <w:szCs w:val="21"/>
        </w:rPr>
        <w:t>我公司承诺：我公司独立制作、修改和上传投标文件，并承担因“硬件特征码一致”所造成的不良后果。</w:t>
      </w:r>
    </w:p>
    <w:p>
      <w:pPr>
        <w:pStyle w:val="20"/>
        <w:widowControl/>
        <w:tabs>
          <w:tab w:val="left" w:pos="5250"/>
        </w:tabs>
        <w:ind w:firstLine="210"/>
        <w:rPr>
          <w:szCs w:val="21"/>
        </w:rPr>
      </w:pPr>
    </w:p>
    <w:p>
      <w:pPr>
        <w:pStyle w:val="20"/>
        <w:widowControl/>
        <w:tabs>
          <w:tab w:val="left" w:pos="5250"/>
        </w:tabs>
        <w:ind w:firstLine="210"/>
        <w:rPr>
          <w:szCs w:val="21"/>
        </w:rPr>
      </w:pPr>
    </w:p>
    <w:p>
      <w:pPr>
        <w:pStyle w:val="20"/>
        <w:widowControl/>
        <w:tabs>
          <w:tab w:val="left" w:pos="5250"/>
        </w:tabs>
        <w:ind w:firstLine="210"/>
        <w:rPr>
          <w:szCs w:val="21"/>
        </w:rPr>
      </w:pPr>
    </w:p>
    <w:p>
      <w:pPr>
        <w:pStyle w:val="20"/>
        <w:widowControl/>
        <w:tabs>
          <w:tab w:val="left" w:pos="5250"/>
        </w:tabs>
        <w:ind w:firstLine="210"/>
        <w:rPr>
          <w:szCs w:val="21"/>
        </w:rPr>
      </w:pPr>
    </w:p>
    <w:p>
      <w:pPr>
        <w:pStyle w:val="20"/>
        <w:widowControl/>
        <w:tabs>
          <w:tab w:val="left" w:pos="5250"/>
        </w:tabs>
        <w:ind w:firstLine="210"/>
        <w:rPr>
          <w:szCs w:val="21"/>
        </w:rPr>
      </w:pPr>
    </w:p>
    <w:p>
      <w:pPr>
        <w:pStyle w:val="20"/>
        <w:widowControl/>
        <w:tabs>
          <w:tab w:val="left" w:pos="5250"/>
        </w:tabs>
        <w:ind w:firstLine="0" w:firstLineChars="0"/>
        <w:rPr>
          <w:szCs w:val="21"/>
        </w:rPr>
      </w:pPr>
    </w:p>
    <w:p>
      <w:pPr>
        <w:autoSpaceDE w:val="0"/>
        <w:autoSpaceDN w:val="0"/>
        <w:adjustRightInd w:val="0"/>
        <w:spacing w:line="380" w:lineRule="exact"/>
        <w:ind w:firstLine="420"/>
        <w:jc w:val="center"/>
        <w:rPr>
          <w:rFonts w:ascii="宋体" w:hAnsi="Calibri" w:eastAsia="宋体" w:cs="宋体"/>
          <w:b/>
          <w:szCs w:val="21"/>
          <w:lang w:val="zh-CN"/>
        </w:rPr>
      </w:pPr>
    </w:p>
    <w:p>
      <w:pPr>
        <w:spacing w:line="360" w:lineRule="auto"/>
        <w:ind w:firstLine="409" w:firstLineChars="195"/>
        <w:jc w:val="right"/>
        <w:rPr>
          <w:rFonts w:ascii="宋体" w:hAnsi="宋体" w:eastAsia="宋体" w:cs="宋体"/>
          <w:szCs w:val="21"/>
          <w:u w:val="single"/>
        </w:rPr>
      </w:pPr>
      <w:r>
        <w:rPr>
          <w:rFonts w:hint="eastAsia" w:ascii="宋体" w:hAnsi="宋体" w:eastAsia="宋体" w:cs="宋体"/>
          <w:szCs w:val="21"/>
        </w:rPr>
        <w:t>谈判人：</w:t>
      </w:r>
      <w:r>
        <w:rPr>
          <w:rFonts w:hint="eastAsia" w:ascii="宋体" w:hAnsi="宋体" w:eastAsia="宋体" w:cs="宋体"/>
          <w:szCs w:val="21"/>
          <w:u w:val="single"/>
        </w:rPr>
        <w:t xml:space="preserve">                   （盖章）  </w:t>
      </w:r>
    </w:p>
    <w:p>
      <w:pPr>
        <w:spacing w:line="360" w:lineRule="auto"/>
        <w:ind w:firstLine="409" w:firstLineChars="195"/>
        <w:jc w:val="right"/>
        <w:rPr>
          <w:rFonts w:ascii="宋体" w:hAnsi="宋体" w:eastAsia="宋体" w:cs="宋体"/>
          <w:szCs w:val="21"/>
          <w:u w:val="single"/>
        </w:rPr>
      </w:pPr>
      <w:r>
        <w:rPr>
          <w:rFonts w:hint="eastAsia" w:ascii="宋体" w:hAnsi="宋体" w:eastAsia="宋体" w:cs="宋体"/>
          <w:szCs w:val="21"/>
        </w:rPr>
        <w:t xml:space="preserve">                      法定代表人(或授权委托人)： </w:t>
      </w:r>
      <w:r>
        <w:rPr>
          <w:rFonts w:hint="eastAsia" w:ascii="宋体" w:hAnsi="宋体" w:eastAsia="宋体" w:cs="宋体"/>
          <w:szCs w:val="21"/>
          <w:u w:val="single"/>
        </w:rPr>
        <w:t xml:space="preserve">      （</w:t>
      </w:r>
      <w:r>
        <w:rPr>
          <w:rFonts w:hint="eastAsia" w:ascii="宋体" w:hAnsi="宋体" w:eastAsia="宋体" w:cs="宋体"/>
          <w:szCs w:val="21"/>
        </w:rPr>
        <w:t>签字或盖章）</w:t>
      </w:r>
    </w:p>
    <w:p>
      <w:pPr>
        <w:pStyle w:val="41"/>
        <w:widowControl/>
        <w:rPr>
          <w:sz w:val="21"/>
          <w:szCs w:val="21"/>
        </w:rPr>
      </w:pPr>
    </w:p>
    <w:p>
      <w:pPr>
        <w:autoSpaceDE w:val="0"/>
        <w:autoSpaceDN w:val="0"/>
        <w:adjustRightInd w:val="0"/>
        <w:spacing w:line="380" w:lineRule="exact"/>
        <w:jc w:val="right"/>
        <w:rPr>
          <w:lang w:val="zh-CN"/>
        </w:rPr>
      </w:pPr>
      <w:r>
        <w:rPr>
          <w:rFonts w:hint="eastAsia" w:ascii="宋体" w:hAnsi="宋体" w:eastAsia="宋体" w:cs="宋体"/>
          <w:szCs w:val="21"/>
        </w:rPr>
        <w:t xml:space="preserve"> 日   期： 年月日</w:t>
      </w:r>
    </w:p>
    <w:p>
      <w:pPr>
        <w:spacing w:line="400" w:lineRule="exact"/>
        <w:jc w:val="center"/>
        <w:rPr>
          <w:rFonts w:ascii="宋体" w:hAnsi="宋体" w:eastAsia="宋体" w:cs="宋体"/>
          <w:b/>
          <w:color w:val="000000"/>
          <w:sz w:val="30"/>
          <w:szCs w:val="22"/>
        </w:rPr>
      </w:pPr>
    </w:p>
    <w:p>
      <w:pPr>
        <w:spacing w:line="360" w:lineRule="auto"/>
        <w:ind w:left="420"/>
        <w:rPr>
          <w:rFonts w:ascii="宋体" w:hAnsi="宋体" w:eastAsia="宋体" w:cs="宋体"/>
          <w:color w:val="000000"/>
        </w:rPr>
      </w:pPr>
    </w:p>
    <w:p>
      <w:pPr>
        <w:spacing w:line="400" w:lineRule="exact"/>
        <w:jc w:val="center"/>
        <w:rPr>
          <w:rFonts w:ascii="宋体" w:hAnsi="宋体" w:eastAsia="宋体" w:cs="宋体"/>
          <w:b/>
          <w:color w:val="000000"/>
          <w:sz w:val="30"/>
          <w:szCs w:val="22"/>
        </w:rPr>
      </w:pPr>
    </w:p>
    <w:p>
      <w:pPr>
        <w:spacing w:line="400" w:lineRule="exact"/>
        <w:ind w:firstLine="723" w:firstLineChars="343"/>
        <w:jc w:val="left"/>
        <w:outlineLvl w:val="1"/>
        <w:rPr>
          <w:rFonts w:ascii="宋体" w:hAnsi="宋体" w:eastAsia="宋体" w:cs="宋体"/>
          <w:b/>
          <w:color w:val="000000"/>
          <w:szCs w:val="21"/>
        </w:rPr>
      </w:pPr>
      <w:bookmarkStart w:id="150" w:name="_Toc31648123"/>
      <w:bookmarkStart w:id="151" w:name="_Toc29548327"/>
      <w:r>
        <w:rPr>
          <w:rFonts w:hint="eastAsia" w:ascii="宋体" w:hAnsi="宋体" w:eastAsia="宋体" w:cs="宋体"/>
          <w:b/>
          <w:color w:val="000000"/>
          <w:szCs w:val="21"/>
        </w:rPr>
        <w:t>2、谈判人认为有必要提供的材料</w:t>
      </w:r>
      <w:bookmarkEnd w:id="150"/>
      <w:bookmarkEnd w:id="151"/>
    </w:p>
    <w:p>
      <w:pPr>
        <w:spacing w:line="400" w:lineRule="exact"/>
        <w:jc w:val="center"/>
        <w:rPr>
          <w:rFonts w:ascii="宋体" w:hAnsi="宋体" w:eastAsia="宋体" w:cs="宋体"/>
          <w:b/>
          <w:color w:val="000000"/>
          <w:sz w:val="30"/>
          <w:szCs w:val="22"/>
        </w:rPr>
      </w:pPr>
    </w:p>
    <w:p>
      <w:pPr>
        <w:spacing w:line="400" w:lineRule="exact"/>
        <w:rPr>
          <w:rFonts w:ascii="宋体" w:hAnsi="宋体" w:eastAsia="宋体" w:cs="宋体"/>
          <w:color w:val="000000"/>
        </w:rPr>
      </w:pPr>
    </w:p>
    <w:p>
      <w:pPr>
        <w:spacing w:line="400" w:lineRule="exact"/>
        <w:rPr>
          <w:rFonts w:ascii="宋体" w:hAnsi="宋体" w:eastAsia="宋体" w:cs="宋体"/>
          <w:color w:val="000000"/>
        </w:rPr>
      </w:pPr>
    </w:p>
    <w:p>
      <w:pPr>
        <w:spacing w:line="400" w:lineRule="exact"/>
        <w:rPr>
          <w:rFonts w:ascii="宋体" w:hAnsi="宋体" w:eastAsia="宋体" w:cs="宋体"/>
          <w:color w:val="000000"/>
        </w:rPr>
      </w:pPr>
    </w:p>
    <w:p>
      <w:pPr>
        <w:spacing w:line="400" w:lineRule="exact"/>
        <w:rPr>
          <w:rFonts w:ascii="宋体" w:hAnsi="宋体" w:eastAsia="宋体" w:cs="宋体"/>
          <w:color w:val="000000"/>
        </w:rPr>
      </w:pPr>
    </w:p>
    <w:p>
      <w:pPr>
        <w:spacing w:line="400" w:lineRule="exact"/>
        <w:rPr>
          <w:rFonts w:ascii="宋体" w:hAnsi="宋体" w:eastAsia="宋体" w:cs="宋体"/>
          <w:color w:val="000000"/>
        </w:rPr>
      </w:pPr>
    </w:p>
    <w:p>
      <w:pPr>
        <w:spacing w:line="400" w:lineRule="exact"/>
        <w:rPr>
          <w:rFonts w:ascii="宋体" w:hAnsi="宋体" w:eastAsia="宋体" w:cs="宋体"/>
          <w:color w:val="000000"/>
        </w:rPr>
      </w:pPr>
    </w:p>
    <w:p>
      <w:pPr>
        <w:spacing w:line="400" w:lineRule="exact"/>
        <w:rPr>
          <w:rFonts w:ascii="宋体" w:hAnsi="宋体" w:eastAsia="宋体" w:cs="宋体"/>
          <w:color w:val="000000"/>
        </w:rPr>
      </w:pPr>
    </w:p>
    <w:p>
      <w:pPr>
        <w:spacing w:line="400" w:lineRule="exact"/>
        <w:rPr>
          <w:rFonts w:ascii="宋体" w:hAnsi="宋体" w:eastAsia="宋体" w:cs="宋体"/>
          <w:color w:val="000000"/>
        </w:rPr>
      </w:pPr>
    </w:p>
    <w:p>
      <w:pPr>
        <w:spacing w:line="400" w:lineRule="exact"/>
        <w:rPr>
          <w:rFonts w:ascii="宋体" w:hAnsi="宋体" w:eastAsia="宋体" w:cs="宋体"/>
          <w:color w:val="000000"/>
        </w:rPr>
      </w:pPr>
    </w:p>
    <w:p/>
    <w:p/>
    <w:p/>
    <w:sectPr>
      <w:pgSz w:w="11906" w:h="16838"/>
      <w:pgMar w:top="1276"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
    <w:altName w:val="Times New Roman"/>
    <w:panose1 w:val="00000000000000000000"/>
    <w:charset w:val="00"/>
    <w:family w:val="auto"/>
    <w:pitch w:val="default"/>
    <w:sig w:usb0="00000000" w:usb1="00000000" w:usb2="00000000" w:usb3="00000000" w:csb0="00000001" w:csb1="00000000"/>
  </w:font>
  <w:font w:name="等线">
    <w:altName w:val="微软雅黑"/>
    <w:panose1 w:val="02010600030101010101"/>
    <w:charset w:val="86"/>
    <w:family w:val="auto"/>
    <w:pitch w:val="default"/>
    <w:sig w:usb0="00000000" w:usb1="00000000" w:usb2="00000016" w:usb3="00000000" w:csb0="0004000F"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CB8E28"/>
    <w:multiLevelType w:val="multilevel"/>
    <w:tmpl w:val="A0CB8E28"/>
    <w:lvl w:ilvl="0" w:tentative="0">
      <w:start w:val="1"/>
      <w:numFmt w:val="decimal"/>
      <w:lvlText w:val="%1."/>
      <w:lvlJc w:val="left"/>
      <w:pPr>
        <w:tabs>
          <w:tab w:val="left" w:pos="360"/>
        </w:tabs>
        <w:ind w:left="360" w:hanging="360"/>
      </w:pPr>
      <w:rPr>
        <w:b w:val="0"/>
        <w:color w:val="00000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845A0E3"/>
    <w:multiLevelType w:val="multilevel"/>
    <w:tmpl w:val="1845A0E3"/>
    <w:lvl w:ilvl="0" w:tentative="0">
      <w:start w:val="1"/>
      <w:numFmt w:val="decimal"/>
      <w:lvlText w:val="(%1)"/>
      <w:lvlJc w:val="left"/>
      <w:pPr>
        <w:tabs>
          <w:tab w:val="left" w:pos="420"/>
        </w:tabs>
        <w:ind w:left="170" w:hanging="170"/>
      </w:pPr>
    </w:lvl>
    <w:lvl w:ilvl="1" w:tentative="0">
      <w:start w:val="8"/>
      <w:numFmt w:val="japaneseCounting"/>
      <w:lvlText w:val="第%2章"/>
      <w:lvlJc w:val="left"/>
      <w:pPr>
        <w:tabs>
          <w:tab w:val="left" w:pos="1680"/>
        </w:tabs>
        <w:ind w:left="1680" w:hanging="126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EFC264F"/>
    <w:multiLevelType w:val="multilevel"/>
    <w:tmpl w:val="2EFC264F"/>
    <w:lvl w:ilvl="0" w:tentative="0">
      <w:start w:val="6"/>
      <w:numFmt w:val="chineseCounting"/>
      <w:suff w:val="space"/>
      <w:lvlText w:val="第%1章"/>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3B40C2A1"/>
    <w:multiLevelType w:val="multilevel"/>
    <w:tmpl w:val="3B40C2A1"/>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3760C6"/>
    <w:rsid w:val="003760C6"/>
    <w:rsid w:val="00473442"/>
    <w:rsid w:val="00661093"/>
    <w:rsid w:val="09DB717D"/>
    <w:rsid w:val="0CA10BB0"/>
    <w:rsid w:val="17AE405E"/>
    <w:rsid w:val="1F413E20"/>
    <w:rsid w:val="2B982CA7"/>
    <w:rsid w:val="2CC13F24"/>
    <w:rsid w:val="2FDF45B8"/>
    <w:rsid w:val="2FE50D03"/>
    <w:rsid w:val="2FF1592A"/>
    <w:rsid w:val="320D10E1"/>
    <w:rsid w:val="38864E07"/>
    <w:rsid w:val="3BDD1102"/>
    <w:rsid w:val="3E026DD2"/>
    <w:rsid w:val="3E393944"/>
    <w:rsid w:val="3E7869CA"/>
    <w:rsid w:val="43CB1A9C"/>
    <w:rsid w:val="46F03381"/>
    <w:rsid w:val="473E5367"/>
    <w:rsid w:val="49067DF8"/>
    <w:rsid w:val="49C21612"/>
    <w:rsid w:val="4ECE3A42"/>
    <w:rsid w:val="4F281101"/>
    <w:rsid w:val="4F9D01DF"/>
    <w:rsid w:val="5098461F"/>
    <w:rsid w:val="55744A00"/>
    <w:rsid w:val="563242AF"/>
    <w:rsid w:val="56457EFC"/>
    <w:rsid w:val="57E72588"/>
    <w:rsid w:val="5B7D13E1"/>
    <w:rsid w:val="5C281ADB"/>
    <w:rsid w:val="60373A64"/>
    <w:rsid w:val="60941813"/>
    <w:rsid w:val="61857890"/>
    <w:rsid w:val="633F0A4E"/>
    <w:rsid w:val="70A3008A"/>
    <w:rsid w:val="75492F83"/>
    <w:rsid w:val="78516193"/>
    <w:rsid w:val="786617EB"/>
    <w:rsid w:val="7E3D397E"/>
    <w:rsid w:val="7F96374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qFormat="1" w:unhideWhenUsed="0" w:uiPriority="0" w:semiHidden="0" w:name="List 4"/>
    <w:lsdException w:qFormat="1"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43"/>
    <w:qFormat/>
    <w:uiPriority w:val="0"/>
    <w:pPr>
      <w:keepNext/>
      <w:keepLines/>
      <w:widowControl/>
      <w:adjustRightInd w:val="0"/>
      <w:spacing w:before="160" w:after="160" w:line="160" w:lineRule="atLeast"/>
      <w:ind w:left="425" w:hanging="425"/>
      <w:outlineLvl w:val="0"/>
    </w:pPr>
    <w:rPr>
      <w:rFonts w:hint="eastAsia" w:ascii="黑体" w:hAnsi="宋体" w:eastAsia="黑体" w:cs="Times New Roman"/>
      <w:kern w:val="44"/>
      <w:sz w:val="32"/>
      <w:szCs w:val="32"/>
    </w:rPr>
  </w:style>
  <w:style w:type="paragraph" w:styleId="3">
    <w:name w:val="heading 2"/>
    <w:basedOn w:val="1"/>
    <w:next w:val="1"/>
    <w:link w:val="44"/>
    <w:semiHidden/>
    <w:unhideWhenUsed/>
    <w:qFormat/>
    <w:uiPriority w:val="0"/>
    <w:pPr>
      <w:keepNext/>
      <w:keepLines/>
      <w:spacing w:before="260" w:after="260" w:line="412" w:lineRule="auto"/>
      <w:outlineLvl w:val="1"/>
    </w:pPr>
    <w:rPr>
      <w:rFonts w:ascii="Arial" w:hAnsi="Arial" w:eastAsia="黑体" w:cs="Times New Roman"/>
      <w:b/>
      <w:sz w:val="32"/>
      <w:szCs w:val="22"/>
    </w:rPr>
  </w:style>
  <w:style w:type="paragraph" w:styleId="4">
    <w:name w:val="heading 3"/>
    <w:basedOn w:val="1"/>
    <w:next w:val="1"/>
    <w:link w:val="30"/>
    <w:semiHidden/>
    <w:unhideWhenUsed/>
    <w:qFormat/>
    <w:uiPriority w:val="0"/>
    <w:pPr>
      <w:keepNext/>
      <w:keepLines/>
      <w:spacing w:line="413" w:lineRule="auto"/>
      <w:outlineLvl w:val="2"/>
    </w:pPr>
    <w:rPr>
      <w:b/>
      <w:sz w:val="32"/>
    </w:rPr>
  </w:style>
  <w:style w:type="paragraph" w:styleId="5">
    <w:name w:val="heading 4"/>
    <w:basedOn w:val="1"/>
    <w:next w:val="1"/>
    <w:link w:val="45"/>
    <w:semiHidden/>
    <w:unhideWhenUsed/>
    <w:qFormat/>
    <w:uiPriority w:val="0"/>
    <w:pPr>
      <w:keepNext/>
      <w:keepLines/>
      <w:spacing w:line="372" w:lineRule="auto"/>
      <w:outlineLvl w:val="3"/>
    </w:pPr>
    <w:rPr>
      <w:rFonts w:ascii="Arial" w:hAnsi="Arial" w:eastAsia="黑体"/>
      <w:b/>
      <w:sz w:val="28"/>
    </w:rPr>
  </w:style>
  <w:style w:type="character" w:default="1" w:styleId="22">
    <w:name w:val="Default Paragraph Font"/>
    <w:semiHidden/>
    <w:unhideWhenUsed/>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6">
    <w:name w:val="Body Text"/>
    <w:basedOn w:val="1"/>
    <w:link w:val="38"/>
    <w:qFormat/>
    <w:uiPriority w:val="0"/>
  </w:style>
  <w:style w:type="paragraph" w:styleId="7">
    <w:name w:val="Body Text Indent"/>
    <w:basedOn w:val="1"/>
    <w:link w:val="46"/>
    <w:qFormat/>
    <w:uiPriority w:val="0"/>
    <w:pPr>
      <w:ind w:left="420" w:leftChars="200"/>
    </w:pPr>
  </w:style>
  <w:style w:type="paragraph" w:styleId="8">
    <w:name w:val="Plain Text"/>
    <w:basedOn w:val="1"/>
    <w:link w:val="28"/>
    <w:qFormat/>
    <w:uiPriority w:val="0"/>
    <w:rPr>
      <w:rFonts w:hint="eastAsia" w:ascii="宋体" w:hAnsi="Courier New" w:eastAsia="宋体" w:cs="Times New Roman"/>
      <w:szCs w:val="21"/>
    </w:rPr>
  </w:style>
  <w:style w:type="paragraph" w:styleId="9">
    <w:name w:val="Date"/>
    <w:basedOn w:val="1"/>
    <w:next w:val="1"/>
    <w:link w:val="47"/>
    <w:qFormat/>
    <w:uiPriority w:val="0"/>
    <w:pPr>
      <w:widowControl/>
    </w:pPr>
    <w:rPr>
      <w:rFonts w:hint="eastAsia" w:ascii="宋体" w:hAnsi="宋体" w:eastAsia="宋体" w:cs="Times New Roman"/>
      <w:sz w:val="32"/>
      <w:szCs w:val="32"/>
    </w:rPr>
  </w:style>
  <w:style w:type="paragraph" w:styleId="10">
    <w:name w:val="Body Text Indent 2"/>
    <w:basedOn w:val="1"/>
    <w:link w:val="32"/>
    <w:qFormat/>
    <w:uiPriority w:val="0"/>
    <w:pPr>
      <w:spacing w:line="480" w:lineRule="auto"/>
      <w:ind w:left="420" w:leftChars="200"/>
    </w:pPr>
  </w:style>
  <w:style w:type="paragraph" w:styleId="11">
    <w:name w:val="Balloon Text"/>
    <w:basedOn w:val="1"/>
    <w:link w:val="37"/>
    <w:qFormat/>
    <w:uiPriority w:val="0"/>
    <w:rPr>
      <w:sz w:val="18"/>
    </w:rPr>
  </w:style>
  <w:style w:type="paragraph" w:styleId="12">
    <w:name w:val="footer"/>
    <w:basedOn w:val="1"/>
    <w:link w:val="34"/>
    <w:qFormat/>
    <w:uiPriority w:val="0"/>
    <w:pPr>
      <w:tabs>
        <w:tab w:val="center" w:pos="4153"/>
        <w:tab w:val="right" w:pos="8306"/>
      </w:tabs>
      <w:snapToGrid w:val="0"/>
      <w:jc w:val="left"/>
    </w:pPr>
    <w:rPr>
      <w:sz w:val="18"/>
    </w:rPr>
  </w:style>
  <w:style w:type="paragraph" w:styleId="13">
    <w:name w:val="header"/>
    <w:basedOn w:val="1"/>
    <w:link w:val="3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0"/>
    <w:rPr>
      <w:rFonts w:ascii="Calibri" w:hAnsi="Calibri" w:eastAsia="宋体" w:cs="Times New Roman"/>
      <w:szCs w:val="22"/>
    </w:rPr>
  </w:style>
  <w:style w:type="paragraph" w:styleId="15">
    <w:name w:val="List 5"/>
    <w:basedOn w:val="1"/>
    <w:qFormat/>
    <w:uiPriority w:val="0"/>
    <w:pPr>
      <w:widowControl/>
      <w:ind w:left="2100" w:hanging="420"/>
    </w:pPr>
    <w:rPr>
      <w:rFonts w:ascii="Times New Roman" w:hAnsi="Times New Roman" w:eastAsia="楷体_GB2312" w:cs="Times New Roman"/>
      <w:sz w:val="32"/>
      <w:szCs w:val="32"/>
    </w:rPr>
  </w:style>
  <w:style w:type="paragraph" w:styleId="16">
    <w:name w:val="toc 2"/>
    <w:basedOn w:val="1"/>
    <w:next w:val="1"/>
    <w:qFormat/>
    <w:uiPriority w:val="0"/>
    <w:pPr>
      <w:ind w:left="420" w:leftChars="200"/>
    </w:pPr>
    <w:rPr>
      <w:rFonts w:ascii="Calibri" w:hAnsi="Calibri" w:eastAsia="宋体" w:cs="Times New Roman"/>
      <w:szCs w:val="22"/>
    </w:rPr>
  </w:style>
  <w:style w:type="paragraph" w:styleId="17">
    <w:name w:val="List 4"/>
    <w:basedOn w:val="1"/>
    <w:qFormat/>
    <w:uiPriority w:val="0"/>
    <w:pPr>
      <w:widowControl/>
      <w:ind w:left="1680" w:hanging="420"/>
    </w:pPr>
    <w:rPr>
      <w:rFonts w:ascii="Times New Roman" w:hAnsi="Times New Roman" w:eastAsia="楷体_GB2312" w:cs="Times New Roman"/>
      <w:sz w:val="32"/>
      <w:szCs w:val="32"/>
    </w:rPr>
  </w:style>
  <w:style w:type="paragraph" w:styleId="18">
    <w:name w:val="Normal (Web)"/>
    <w:basedOn w:val="1"/>
    <w:qFormat/>
    <w:uiPriority w:val="0"/>
    <w:rPr>
      <w:sz w:val="24"/>
    </w:rPr>
  </w:style>
  <w:style w:type="paragraph" w:styleId="19">
    <w:name w:val="Title"/>
    <w:basedOn w:val="1"/>
    <w:link w:val="48"/>
    <w:qFormat/>
    <w:uiPriority w:val="0"/>
    <w:pPr>
      <w:jc w:val="center"/>
      <w:outlineLvl w:val="0"/>
    </w:pPr>
    <w:rPr>
      <w:rFonts w:ascii="Arial" w:hAnsi="Arial"/>
      <w:b/>
      <w:sz w:val="32"/>
    </w:rPr>
  </w:style>
  <w:style w:type="paragraph" w:styleId="20">
    <w:name w:val="Body Text First Indent"/>
    <w:basedOn w:val="6"/>
    <w:link w:val="40"/>
    <w:qFormat/>
    <w:uiPriority w:val="0"/>
    <w:pPr>
      <w:spacing w:after="120"/>
      <w:ind w:firstLine="420" w:firstLineChars="100"/>
    </w:pPr>
    <w:rPr>
      <w:rFonts w:ascii="Calibri" w:hAnsi="Calibri" w:eastAsia="宋体" w:cs="Times New Roman"/>
      <w:szCs w:val="22"/>
    </w:rPr>
  </w:style>
  <w:style w:type="character" w:styleId="23">
    <w:name w:val="page number"/>
    <w:basedOn w:val="22"/>
    <w:qFormat/>
    <w:uiPriority w:val="0"/>
    <w:rPr>
      <w:rFonts w:hint="default" w:ascii="Times New Roman" w:hAnsi="Times New Roman" w:cs="Times New Roman"/>
    </w:rPr>
  </w:style>
  <w:style w:type="character" w:styleId="24">
    <w:name w:val="FollowedHyperlink"/>
    <w:basedOn w:val="22"/>
    <w:qFormat/>
    <w:uiPriority w:val="0"/>
    <w:rPr>
      <w:color w:val="606420"/>
      <w:u w:val="single"/>
    </w:rPr>
  </w:style>
  <w:style w:type="character" w:styleId="25">
    <w:name w:val="Emphasis"/>
    <w:basedOn w:val="22"/>
    <w:qFormat/>
    <w:uiPriority w:val="0"/>
  </w:style>
  <w:style w:type="character" w:styleId="26">
    <w:name w:val="Hyperlink"/>
    <w:basedOn w:val="22"/>
    <w:qFormat/>
    <w:uiPriority w:val="0"/>
    <w:rPr>
      <w:rFonts w:hint="default" w:ascii="Times New Roman" w:hAnsi="Times New Roman" w:cs="Times New Roman"/>
      <w:color w:val="555555"/>
    </w:rPr>
  </w:style>
  <w:style w:type="character" w:customStyle="1" w:styleId="27">
    <w:name w:val="标题 Char"/>
    <w:basedOn w:val="22"/>
    <w:link w:val="19"/>
    <w:qFormat/>
    <w:uiPriority w:val="0"/>
    <w:rPr>
      <w:rFonts w:ascii="Cambria" w:hAnsi="Cambria" w:eastAsia="Cambria" w:cs="Times New Roman"/>
      <w:b/>
      <w:kern w:val="2"/>
      <w:sz w:val="32"/>
      <w:szCs w:val="32"/>
    </w:rPr>
  </w:style>
  <w:style w:type="character" w:customStyle="1" w:styleId="28">
    <w:name w:val="纯文本 Char"/>
    <w:basedOn w:val="22"/>
    <w:link w:val="8"/>
    <w:qFormat/>
    <w:uiPriority w:val="0"/>
    <w:rPr>
      <w:rFonts w:hint="eastAsia" w:ascii="宋体" w:hAnsi="Courier New" w:eastAsia="宋体" w:cs="Courier New"/>
      <w:kern w:val="2"/>
      <w:sz w:val="21"/>
      <w:szCs w:val="21"/>
    </w:rPr>
  </w:style>
  <w:style w:type="paragraph" w:customStyle="1" w:styleId="29">
    <w:name w:val="文档正文"/>
    <w:basedOn w:val="1"/>
    <w:qFormat/>
    <w:uiPriority w:val="0"/>
    <w:pPr>
      <w:widowControl/>
      <w:adjustRightInd w:val="0"/>
      <w:spacing w:line="480" w:lineRule="atLeast"/>
      <w:ind w:firstLine="567"/>
    </w:pPr>
    <w:rPr>
      <w:rFonts w:ascii="仿宋_GB2312" w:hAnsi="Times New Roman" w:eastAsia="仿宋_GB2312" w:cs="Times New Roman"/>
      <w:kern w:val="0"/>
      <w:sz w:val="28"/>
      <w:szCs w:val="28"/>
    </w:rPr>
  </w:style>
  <w:style w:type="character" w:customStyle="1" w:styleId="30">
    <w:name w:val="标题 3 Char"/>
    <w:basedOn w:val="22"/>
    <w:link w:val="4"/>
    <w:qFormat/>
    <w:uiPriority w:val="0"/>
    <w:rPr>
      <w:b/>
      <w:kern w:val="2"/>
      <w:sz w:val="24"/>
      <w:szCs w:val="32"/>
    </w:rPr>
  </w:style>
  <w:style w:type="character" w:customStyle="1" w:styleId="31">
    <w:name w:val="页眉 Char"/>
    <w:basedOn w:val="22"/>
    <w:link w:val="13"/>
    <w:qFormat/>
    <w:uiPriority w:val="0"/>
    <w:rPr>
      <w:kern w:val="2"/>
      <w:sz w:val="18"/>
      <w:szCs w:val="18"/>
    </w:rPr>
  </w:style>
  <w:style w:type="character" w:customStyle="1" w:styleId="32">
    <w:name w:val="正文文本缩进 2 Char"/>
    <w:basedOn w:val="22"/>
    <w:link w:val="10"/>
    <w:qFormat/>
    <w:uiPriority w:val="0"/>
    <w:rPr>
      <w:rFonts w:hint="eastAsia" w:ascii="宋体" w:hAnsi="宋体" w:eastAsia="宋体" w:cs="宋体"/>
      <w:kern w:val="2"/>
      <w:sz w:val="32"/>
      <w:szCs w:val="32"/>
    </w:rPr>
  </w:style>
  <w:style w:type="character" w:customStyle="1" w:styleId="33">
    <w:name w:val="fr"/>
    <w:basedOn w:val="22"/>
    <w:qFormat/>
    <w:uiPriority w:val="0"/>
  </w:style>
  <w:style w:type="character" w:customStyle="1" w:styleId="34">
    <w:name w:val="页脚 Char"/>
    <w:basedOn w:val="22"/>
    <w:link w:val="12"/>
    <w:qFormat/>
    <w:uiPriority w:val="0"/>
    <w:rPr>
      <w:kern w:val="2"/>
      <w:sz w:val="18"/>
      <w:szCs w:val="18"/>
    </w:rPr>
  </w:style>
  <w:style w:type="character" w:customStyle="1" w:styleId="35">
    <w:name w:val="标题 1 Char1"/>
    <w:basedOn w:val="22"/>
    <w:link w:val="2"/>
    <w:qFormat/>
    <w:uiPriority w:val="0"/>
    <w:rPr>
      <w:rFonts w:hint="eastAsia" w:ascii="黑体" w:hAnsi="宋体" w:eastAsia="黑体" w:cs="黑体"/>
      <w:kern w:val="44"/>
      <w:sz w:val="32"/>
      <w:szCs w:val="32"/>
    </w:rPr>
  </w:style>
  <w:style w:type="character" w:customStyle="1" w:styleId="36">
    <w:name w:val="hover16"/>
    <w:basedOn w:val="22"/>
    <w:qFormat/>
    <w:uiPriority w:val="0"/>
  </w:style>
  <w:style w:type="character" w:customStyle="1" w:styleId="37">
    <w:name w:val="批注框文本 Char"/>
    <w:basedOn w:val="22"/>
    <w:link w:val="11"/>
    <w:qFormat/>
    <w:uiPriority w:val="0"/>
    <w:rPr>
      <w:kern w:val="2"/>
      <w:sz w:val="18"/>
      <w:szCs w:val="18"/>
    </w:rPr>
  </w:style>
  <w:style w:type="character" w:customStyle="1" w:styleId="38">
    <w:name w:val="正文文本 Char"/>
    <w:basedOn w:val="22"/>
    <w:link w:val="6"/>
    <w:qFormat/>
    <w:uiPriority w:val="0"/>
    <w:rPr>
      <w:kern w:val="2"/>
      <w:sz w:val="21"/>
      <w:szCs w:val="22"/>
    </w:rPr>
  </w:style>
  <w:style w:type="character" w:customStyle="1" w:styleId="39">
    <w:name w:val="fl"/>
    <w:basedOn w:val="22"/>
    <w:qFormat/>
    <w:uiPriority w:val="0"/>
    <w:rPr>
      <w:color w:val="666666"/>
    </w:rPr>
  </w:style>
  <w:style w:type="character" w:customStyle="1" w:styleId="40">
    <w:name w:val="正文首行缩进 Char"/>
    <w:basedOn w:val="38"/>
    <w:link w:val="20"/>
    <w:qFormat/>
    <w:uiPriority w:val="0"/>
    <w:rPr>
      <w:kern w:val="2"/>
      <w:sz w:val="21"/>
      <w:szCs w:val="22"/>
    </w:rPr>
  </w:style>
  <w:style w:type="paragraph" w:customStyle="1" w:styleId="41">
    <w:name w:val="Body Text First Indent1"/>
    <w:basedOn w:val="6"/>
    <w:qFormat/>
    <w:uiPriority w:val="0"/>
    <w:pPr>
      <w:spacing w:after="120"/>
      <w:ind w:firstLine="420"/>
    </w:pPr>
    <w:rPr>
      <w:rFonts w:ascii="Calibri" w:hAnsi="Calibri" w:eastAsia="宋体" w:cs="Times New Roman"/>
      <w:sz w:val="32"/>
    </w:rPr>
  </w:style>
  <w:style w:type="character" w:customStyle="1" w:styleId="42">
    <w:name w:val="纯文本 Char3"/>
    <w:basedOn w:val="22"/>
    <w:qFormat/>
    <w:uiPriority w:val="0"/>
    <w:rPr>
      <w:rFonts w:hint="eastAsia" w:ascii="宋体" w:hAnsi="Courier New" w:eastAsia="宋体" w:cs="Times New Roman"/>
      <w:kern w:val="0"/>
      <w:sz w:val="20"/>
      <w:szCs w:val="21"/>
    </w:rPr>
  </w:style>
  <w:style w:type="character" w:customStyle="1" w:styleId="43">
    <w:name w:val="标题 1 Char"/>
    <w:basedOn w:val="22"/>
    <w:link w:val="2"/>
    <w:qFormat/>
    <w:uiPriority w:val="0"/>
    <w:rPr>
      <w:b/>
      <w:kern w:val="44"/>
      <w:sz w:val="44"/>
      <w:szCs w:val="44"/>
    </w:rPr>
  </w:style>
  <w:style w:type="character" w:customStyle="1" w:styleId="44">
    <w:name w:val="标题 2 Char"/>
    <w:basedOn w:val="22"/>
    <w:link w:val="3"/>
    <w:qFormat/>
    <w:uiPriority w:val="0"/>
    <w:rPr>
      <w:rFonts w:hint="default" w:ascii="Arial" w:hAnsi="Arial" w:eastAsia="黑体" w:cs="Arial"/>
      <w:b/>
      <w:kern w:val="2"/>
      <w:sz w:val="32"/>
      <w:szCs w:val="22"/>
    </w:rPr>
  </w:style>
  <w:style w:type="character" w:customStyle="1" w:styleId="45">
    <w:name w:val="标题 4 Char"/>
    <w:basedOn w:val="22"/>
    <w:link w:val="5"/>
    <w:qFormat/>
    <w:uiPriority w:val="0"/>
    <w:rPr>
      <w:rFonts w:hint="default" w:ascii="Arial" w:hAnsi="Arial" w:eastAsia="黑体" w:cs="Arial"/>
      <w:b/>
      <w:sz w:val="28"/>
      <w:szCs w:val="28"/>
    </w:rPr>
  </w:style>
  <w:style w:type="character" w:customStyle="1" w:styleId="46">
    <w:name w:val="正文文本缩进 Char"/>
    <w:basedOn w:val="22"/>
    <w:link w:val="7"/>
    <w:qFormat/>
    <w:uiPriority w:val="0"/>
    <w:rPr>
      <w:rFonts w:hint="eastAsia" w:ascii="宋体" w:hAnsi="宋体" w:eastAsia="宋体" w:cs="宋体"/>
      <w:kern w:val="2"/>
      <w:sz w:val="24"/>
      <w:szCs w:val="24"/>
    </w:rPr>
  </w:style>
  <w:style w:type="character" w:customStyle="1" w:styleId="47">
    <w:name w:val="日期 Char"/>
    <w:basedOn w:val="22"/>
    <w:link w:val="9"/>
    <w:qFormat/>
    <w:uiPriority w:val="0"/>
    <w:rPr>
      <w:rFonts w:hint="eastAsia" w:ascii="宋体" w:hAnsi="宋体" w:eastAsia="宋体" w:cs="宋体"/>
      <w:kern w:val="2"/>
      <w:sz w:val="32"/>
      <w:szCs w:val="32"/>
    </w:rPr>
  </w:style>
  <w:style w:type="character" w:customStyle="1" w:styleId="48">
    <w:name w:val="标题 Char1"/>
    <w:basedOn w:val="22"/>
    <w:link w:val="19"/>
    <w:qFormat/>
    <w:uiPriority w:val="0"/>
    <w:rPr>
      <w:rFonts w:hint="default" w:ascii="??" w:hAnsi="宋体" w:eastAsia="等线" w:cs="??"/>
      <w:bCs/>
      <w:sz w:val="28"/>
      <w:szCs w:val="28"/>
    </w:rPr>
  </w:style>
  <w:style w:type="paragraph" w:customStyle="1" w:styleId="49">
    <w:name w:val="样式 标题 3 + (中文) 黑体 小四 非加粗 段前: 7.8 磅 段后: 0 磅 行距: 固定值 20 磅"/>
    <w:basedOn w:val="4"/>
    <w:qFormat/>
    <w:uiPriority w:val="0"/>
    <w:pPr>
      <w:spacing w:line="400" w:lineRule="exact"/>
    </w:pPr>
    <w:rPr>
      <w:rFonts w:ascii="Calibri" w:hAnsi="Calibri" w:eastAsia="黑体" w:cs="Times New Roman"/>
      <w:bCs/>
      <w:sz w:val="24"/>
      <w:szCs w:val="32"/>
    </w:rPr>
  </w:style>
  <w:style w:type="character" w:customStyle="1" w:styleId="50">
    <w:name w:val="hover23"/>
    <w:basedOn w:val="22"/>
    <w:qFormat/>
    <w:uiPriority w:val="0"/>
  </w:style>
  <w:style w:type="character" w:customStyle="1" w:styleId="51">
    <w:name w:val="right"/>
    <w:basedOn w:val="22"/>
    <w:qFormat/>
    <w:uiPriority w:val="0"/>
    <w:rPr>
      <w:color w:val="999999"/>
      <w:sz w:val="18"/>
      <w:szCs w:val="18"/>
    </w:rPr>
  </w:style>
  <w:style w:type="character" w:customStyle="1" w:styleId="52">
    <w:name w:val="right1"/>
    <w:basedOn w:val="22"/>
    <w:qFormat/>
    <w:uiPriority w:val="0"/>
    <w:rPr>
      <w:color w:val="999999"/>
    </w:rPr>
  </w:style>
  <w:style w:type="character" w:customStyle="1" w:styleId="53">
    <w:name w:val="green"/>
    <w:basedOn w:val="22"/>
    <w:qFormat/>
    <w:uiPriority w:val="0"/>
    <w:rPr>
      <w:color w:val="58B200"/>
      <w:sz w:val="21"/>
      <w:szCs w:val="21"/>
    </w:rPr>
  </w:style>
  <w:style w:type="character" w:customStyle="1" w:styleId="54">
    <w:name w:val="red"/>
    <w:basedOn w:val="22"/>
    <w:qFormat/>
    <w:uiPriority w:val="0"/>
    <w:rPr>
      <w:color w:val="FF0000"/>
      <w:sz w:val="21"/>
      <w:szCs w:val="21"/>
    </w:rPr>
  </w:style>
  <w:style w:type="character" w:customStyle="1" w:styleId="55">
    <w:name w:val="red1"/>
    <w:basedOn w:val="22"/>
    <w:qFormat/>
    <w:uiPriority w:val="0"/>
    <w:rPr>
      <w:color w:val="FF0000"/>
      <w:sz w:val="24"/>
      <w:szCs w:val="24"/>
    </w:rPr>
  </w:style>
  <w:style w:type="character" w:customStyle="1" w:styleId="56">
    <w:name w:val="gb-jt"/>
    <w:basedOn w:val="22"/>
    <w:qFormat/>
    <w:uiPriority w:val="0"/>
  </w:style>
  <w:style w:type="character" w:customStyle="1" w:styleId="57">
    <w:name w:val="blue"/>
    <w:basedOn w:val="22"/>
    <w:qFormat/>
    <w:uiPriority w:val="0"/>
    <w:rPr>
      <w:color w:val="0371C6"/>
      <w:sz w:val="21"/>
      <w:szCs w:val="21"/>
    </w:rPr>
  </w:style>
  <w:style w:type="character" w:customStyle="1" w:styleId="58">
    <w:name w:val="fr4"/>
    <w:basedOn w:val="22"/>
    <w:qFormat/>
    <w:uiPriority w:val="0"/>
  </w:style>
  <w:style w:type="character" w:customStyle="1" w:styleId="59">
    <w:name w:val="hover24"/>
    <w:basedOn w:val="22"/>
    <w:qFormat/>
    <w:uiPriority w:val="0"/>
  </w:style>
  <w:style w:type="character" w:customStyle="1" w:styleId="60">
    <w:name w:val="fl2"/>
    <w:basedOn w:val="22"/>
    <w:qFormat/>
    <w:uiPriority w:val="0"/>
    <w:rPr>
      <w:color w:val="66666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3400</Words>
  <Characters>19386</Characters>
  <Lines>161</Lines>
  <Paragraphs>45</Paragraphs>
  <TotalTime>2</TotalTime>
  <ScaleCrop>false</ScaleCrop>
  <LinksUpToDate>false</LinksUpToDate>
  <CharactersWithSpaces>22741</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2020-06-29T08:52:51Z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