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pageBreakBefore w:val="0"/>
        <w:wordWrap/>
        <w:overflowPunct/>
        <w:topLinePunct w:val="0"/>
        <w:autoSpaceDE/>
        <w:autoSpaceDN/>
        <w:bidi w:val="0"/>
        <w:snapToGrid/>
        <w:spacing w:line="360" w:lineRule="auto"/>
        <w:jc w:val="center"/>
        <w:rPr>
          <w:rFonts w:hint="eastAsia" w:ascii="宋体" w:hAnsi="宋体" w:eastAsia="宋体" w:cs="宋体"/>
          <w:b/>
          <w:bCs/>
          <w:sz w:val="24"/>
          <w:szCs w:val="24"/>
          <w:u w:val="none"/>
        </w:rPr>
      </w:pPr>
      <w:r>
        <w:rPr>
          <w:rFonts w:hint="eastAsia" w:ascii="宋体" w:hAnsi="宋体" w:eastAsia="宋体" w:cs="宋体"/>
          <w:b/>
          <w:bCs/>
          <w:color w:val="000000"/>
          <w:kern w:val="0"/>
          <w:sz w:val="24"/>
          <w:szCs w:val="24"/>
          <w:u w:val="none"/>
          <w:lang w:val="en-US" w:eastAsia="zh-CN"/>
        </w:rPr>
        <w:t>杞县乡村振兴建设工程（二期）</w:t>
      </w:r>
      <w:r>
        <w:rPr>
          <w:rFonts w:hint="eastAsia" w:ascii="宋体" w:hAnsi="宋体" w:cs="宋体"/>
          <w:b/>
          <w:bCs/>
          <w:color w:val="000000"/>
          <w:kern w:val="0"/>
          <w:sz w:val="24"/>
          <w:szCs w:val="24"/>
          <w:u w:val="none"/>
          <w:lang w:val="en-US" w:eastAsia="zh-CN"/>
        </w:rPr>
        <w:t>招标公告</w:t>
      </w:r>
    </w:p>
    <w:p>
      <w:pPr>
        <w:keepNext w:val="0"/>
        <w:pageBreakBefore w:val="0"/>
        <w:wordWrap/>
        <w:overflowPunct/>
        <w:topLinePunct w:val="0"/>
        <w:autoSpaceDE/>
        <w:autoSpaceDN/>
        <w:bidi w:val="0"/>
        <w:snapToGrid/>
        <w:spacing w:line="360" w:lineRule="auto"/>
        <w:rPr>
          <w:rFonts w:hint="eastAsia" w:ascii="宋体" w:hAnsi="宋体" w:eastAsia="宋体" w:cs="宋体"/>
          <w:b/>
          <w:bCs/>
          <w:sz w:val="24"/>
          <w:szCs w:val="24"/>
        </w:rPr>
      </w:pPr>
      <w:r>
        <w:rPr>
          <w:rFonts w:hint="eastAsia" w:ascii="宋体" w:hAnsi="宋体" w:eastAsia="宋体" w:cs="宋体"/>
          <w:b/>
          <w:bCs/>
          <w:sz w:val="24"/>
          <w:szCs w:val="24"/>
        </w:rPr>
        <w:t>1. 招标条件</w:t>
      </w:r>
    </w:p>
    <w:p>
      <w:pPr>
        <w:keepNext w:val="0"/>
        <w:pageBreakBefore w:val="0"/>
        <w:wordWrap/>
        <w:overflowPunct/>
        <w:topLinePunct w:val="0"/>
        <w:autoSpaceDE/>
        <w:autoSpaceDN/>
        <w:bidi w:val="0"/>
        <w:snapToGrid/>
        <w:spacing w:line="360" w:lineRule="auto"/>
        <w:ind w:firstLine="480" w:firstLineChars="200"/>
        <w:rPr>
          <w:rFonts w:hint="eastAsia" w:ascii="宋体" w:hAnsi="宋体" w:eastAsia="宋体" w:cs="宋体"/>
          <w:sz w:val="24"/>
          <w:szCs w:val="24"/>
        </w:rPr>
      </w:pPr>
      <w:bookmarkStart w:id="0" w:name="_Toc600"/>
      <w:bookmarkStart w:id="1" w:name="_Toc7748"/>
      <w:bookmarkStart w:id="2" w:name="_Toc437872187"/>
      <w:r>
        <w:rPr>
          <w:rFonts w:hint="eastAsia" w:ascii="宋体" w:hAnsi="宋体" w:eastAsia="宋体" w:cs="宋体"/>
          <w:color w:val="000000"/>
          <w:kern w:val="0"/>
          <w:sz w:val="24"/>
          <w:szCs w:val="24"/>
        </w:rPr>
        <w:t>本招标项目</w:t>
      </w:r>
      <w:r>
        <w:rPr>
          <w:rFonts w:hint="eastAsia" w:ascii="宋体" w:hAnsi="宋体" w:eastAsia="宋体" w:cs="宋体"/>
          <w:color w:val="000000"/>
          <w:kern w:val="0"/>
          <w:sz w:val="24"/>
          <w:szCs w:val="24"/>
          <w:u w:val="single"/>
          <w:lang w:val="en-US" w:eastAsia="zh-CN"/>
        </w:rPr>
        <w:t>杞县乡村振兴建</w:t>
      </w:r>
      <w:bookmarkStart w:id="3" w:name="_GoBack"/>
      <w:bookmarkEnd w:id="3"/>
      <w:r>
        <w:rPr>
          <w:rFonts w:hint="eastAsia" w:ascii="宋体" w:hAnsi="宋体" w:eastAsia="宋体" w:cs="宋体"/>
          <w:color w:val="000000"/>
          <w:kern w:val="0"/>
          <w:sz w:val="24"/>
          <w:szCs w:val="24"/>
          <w:u w:val="single"/>
          <w:lang w:val="en-US" w:eastAsia="zh-CN"/>
        </w:rPr>
        <w:t>设工程（二期）</w:t>
      </w:r>
      <w:r>
        <w:rPr>
          <w:rFonts w:hint="eastAsia" w:ascii="宋体" w:hAnsi="宋体" w:eastAsia="宋体" w:cs="宋体"/>
          <w:color w:val="000000"/>
          <w:kern w:val="0"/>
          <w:sz w:val="24"/>
          <w:szCs w:val="24"/>
        </w:rPr>
        <w:t>已经上级部门批准建设，招标人为</w:t>
      </w:r>
      <w:r>
        <w:rPr>
          <w:rFonts w:hint="eastAsia" w:ascii="宋体" w:hAnsi="宋体" w:eastAsia="宋体" w:cs="宋体"/>
          <w:color w:val="000000"/>
          <w:kern w:val="0"/>
          <w:sz w:val="24"/>
          <w:szCs w:val="24"/>
          <w:u w:val="single"/>
          <w:lang w:eastAsia="zh-CN"/>
        </w:rPr>
        <w:t>杞县乡村振兴开发建设有限公司</w:t>
      </w:r>
      <w:r>
        <w:rPr>
          <w:rFonts w:hint="eastAsia" w:ascii="宋体" w:hAnsi="宋体" w:eastAsia="宋体" w:cs="宋体"/>
          <w:color w:val="000000"/>
          <w:kern w:val="0"/>
          <w:sz w:val="24"/>
          <w:szCs w:val="24"/>
        </w:rPr>
        <w:t>，建设资金已落实</w:t>
      </w:r>
      <w:r>
        <w:rPr>
          <w:rFonts w:hint="eastAsia" w:ascii="宋体" w:hAnsi="宋体" w:eastAsia="宋体" w:cs="宋体"/>
          <w:sz w:val="24"/>
          <w:szCs w:val="24"/>
        </w:rPr>
        <w:t>，资金来源为</w:t>
      </w:r>
      <w:r>
        <w:rPr>
          <w:rFonts w:hint="eastAsia" w:ascii="宋体" w:hAnsi="宋体" w:eastAsia="宋体" w:cs="宋体"/>
          <w:sz w:val="24"/>
          <w:szCs w:val="24"/>
          <w:lang w:eastAsia="zh-CN"/>
        </w:rPr>
        <w:t>自筹</w:t>
      </w:r>
      <w:r>
        <w:rPr>
          <w:rFonts w:hint="eastAsia" w:ascii="宋体" w:hAnsi="宋体" w:eastAsia="宋体" w:cs="宋体"/>
          <w:sz w:val="24"/>
          <w:szCs w:val="24"/>
        </w:rPr>
        <w:t>资金，项目</w:t>
      </w:r>
      <w:r>
        <w:rPr>
          <w:rFonts w:hint="eastAsia" w:ascii="宋体" w:hAnsi="宋体" w:eastAsia="宋体" w:cs="宋体"/>
          <w:color w:val="000000"/>
          <w:kern w:val="0"/>
          <w:sz w:val="24"/>
          <w:szCs w:val="24"/>
        </w:rPr>
        <w:t>已具备招标条件，现委托</w:t>
      </w:r>
      <w:r>
        <w:rPr>
          <w:rFonts w:hint="eastAsia" w:ascii="宋体" w:hAnsi="宋体" w:eastAsia="宋体" w:cs="宋体"/>
          <w:color w:val="000000"/>
          <w:kern w:val="0"/>
          <w:sz w:val="24"/>
          <w:szCs w:val="24"/>
          <w:lang w:eastAsia="zh-CN"/>
        </w:rPr>
        <w:t>河南众成工程管理有限公司</w:t>
      </w:r>
      <w:r>
        <w:rPr>
          <w:rFonts w:hint="eastAsia" w:ascii="宋体" w:hAnsi="宋体" w:eastAsia="宋体" w:cs="宋体"/>
          <w:color w:val="000000"/>
          <w:kern w:val="0"/>
          <w:sz w:val="24"/>
          <w:szCs w:val="24"/>
        </w:rPr>
        <w:t>，</w:t>
      </w:r>
      <w:r>
        <w:rPr>
          <w:rFonts w:hint="eastAsia" w:ascii="宋体" w:hAnsi="宋体" w:eastAsia="宋体" w:cs="宋体"/>
          <w:sz w:val="24"/>
          <w:szCs w:val="24"/>
        </w:rPr>
        <w:t>就该项目施工、监理进行公开招标，欢迎具备相应资格的单位参加投标。</w:t>
      </w:r>
      <w:bookmarkEnd w:id="0"/>
      <w:bookmarkEnd w:id="1"/>
      <w:bookmarkEnd w:id="2"/>
    </w:p>
    <w:p>
      <w:pPr>
        <w:keepNext w:val="0"/>
        <w:pageBreakBefore w:val="0"/>
        <w:wordWrap/>
        <w:overflowPunct/>
        <w:topLinePunct w:val="0"/>
        <w:autoSpaceDE/>
        <w:autoSpaceDN/>
        <w:bidi w:val="0"/>
        <w:snapToGrid/>
        <w:spacing w:line="360" w:lineRule="auto"/>
        <w:rPr>
          <w:rFonts w:hint="eastAsia"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eastAsia="宋体" w:cs="宋体"/>
          <w:b/>
          <w:bCs/>
          <w:color w:val="000000"/>
          <w:kern w:val="0"/>
          <w:sz w:val="24"/>
          <w:szCs w:val="24"/>
        </w:rPr>
        <w:t>招标项目名称及内容</w:t>
      </w:r>
    </w:p>
    <w:p>
      <w:pPr>
        <w:keepNext w:val="0"/>
        <w:pageBreakBefore w:val="0"/>
        <w:wordWrap/>
        <w:overflowPunct/>
        <w:topLinePunct w:val="0"/>
        <w:autoSpaceDE/>
        <w:autoSpaceDN/>
        <w:bidi w:val="0"/>
        <w:snapToGrid/>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2.1项目名称：</w:t>
      </w:r>
      <w:r>
        <w:rPr>
          <w:rFonts w:hint="eastAsia" w:ascii="宋体" w:hAnsi="宋体" w:eastAsia="宋体" w:cs="宋体"/>
          <w:sz w:val="24"/>
          <w:szCs w:val="24"/>
          <w:lang w:val="en-US" w:eastAsia="zh-CN"/>
        </w:rPr>
        <w:t>杞县乡村振兴建设工程（二期）</w:t>
      </w:r>
    </w:p>
    <w:p>
      <w:pPr>
        <w:keepNext w:val="0"/>
        <w:pageBreakBefore w:val="0"/>
        <w:wordWrap/>
        <w:overflowPunct/>
        <w:topLinePunct w:val="0"/>
        <w:autoSpaceDE/>
        <w:autoSpaceDN/>
        <w:bidi w:val="0"/>
        <w:snapToGrid/>
        <w:spacing w:line="360" w:lineRule="auto"/>
        <w:rPr>
          <w:rFonts w:hint="eastAsia" w:ascii="宋体" w:hAnsi="宋体" w:eastAsia="宋体" w:cs="宋体"/>
          <w:color w:val="FF0000"/>
          <w:sz w:val="24"/>
          <w:szCs w:val="24"/>
        </w:rPr>
      </w:pPr>
      <w:r>
        <w:rPr>
          <w:rFonts w:hint="eastAsia" w:ascii="宋体" w:hAnsi="宋体" w:eastAsia="宋体" w:cs="宋体"/>
          <w:color w:val="FF0000"/>
          <w:sz w:val="24"/>
          <w:szCs w:val="24"/>
        </w:rPr>
        <w:t xml:space="preserve">  </w:t>
      </w:r>
      <w:r>
        <w:rPr>
          <w:rFonts w:hint="eastAsia" w:ascii="宋体" w:hAnsi="宋体" w:eastAsia="宋体" w:cs="宋体"/>
          <w:color w:val="auto"/>
          <w:sz w:val="24"/>
          <w:szCs w:val="24"/>
        </w:rPr>
        <w:t>2.2项目编号：ZC20-0508080</w:t>
      </w:r>
    </w:p>
    <w:p>
      <w:pPr>
        <w:keepNext w:val="0"/>
        <w:pageBreakBefore w:val="0"/>
        <w:wordWrap/>
        <w:overflowPunct/>
        <w:topLinePunct w:val="0"/>
        <w:autoSpaceDE/>
        <w:autoSpaceDN/>
        <w:bidi w:val="0"/>
        <w:snapToGrid/>
        <w:spacing w:line="360"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rPr>
        <w:t>2.3</w:t>
      </w:r>
      <w:r>
        <w:rPr>
          <w:rFonts w:hint="eastAsia" w:ascii="宋体" w:hAnsi="宋体" w:eastAsia="宋体" w:cs="宋体"/>
          <w:sz w:val="24"/>
          <w:szCs w:val="24"/>
          <w:lang w:eastAsia="zh-CN"/>
        </w:rPr>
        <w:t>投资总额</w:t>
      </w:r>
      <w:r>
        <w:rPr>
          <w:rFonts w:hint="eastAsia" w:ascii="宋体" w:hAnsi="宋体" w:eastAsia="宋体" w:cs="宋体"/>
          <w:sz w:val="24"/>
          <w:szCs w:val="24"/>
        </w:rPr>
        <w:t>：</w:t>
      </w:r>
      <w:r>
        <w:rPr>
          <w:rFonts w:hint="eastAsia" w:ascii="宋体" w:hAnsi="宋体" w:eastAsia="宋体" w:cs="宋体"/>
          <w:sz w:val="24"/>
          <w:szCs w:val="24"/>
          <w:lang w:val="en-US" w:eastAsia="zh-CN"/>
        </w:rPr>
        <w:t>1348.18万元</w:t>
      </w:r>
    </w:p>
    <w:p>
      <w:pPr>
        <w:keepNext w:val="0"/>
        <w:pageBreakBefore w:val="0"/>
        <w:wordWrap/>
        <w:overflowPunct/>
        <w:topLinePunct w:val="0"/>
        <w:autoSpaceDE/>
        <w:autoSpaceDN/>
        <w:bidi w:val="0"/>
        <w:snapToGrid/>
        <w:spacing w:line="360" w:lineRule="auto"/>
        <w:ind w:firstLine="240" w:firstLineChars="1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rPr>
        <w:t>2.4</w:t>
      </w:r>
      <w:r>
        <w:rPr>
          <w:rFonts w:hint="eastAsia" w:ascii="宋体" w:hAnsi="宋体" w:eastAsia="宋体" w:cs="宋体"/>
          <w:color w:val="auto"/>
          <w:sz w:val="24"/>
          <w:szCs w:val="24"/>
          <w:lang w:eastAsia="zh-CN"/>
        </w:rPr>
        <w:t>项目概况：</w:t>
      </w:r>
      <w:r>
        <w:rPr>
          <w:rFonts w:hint="eastAsia" w:ascii="宋体" w:hAnsi="宋体" w:eastAsia="宋体" w:cs="宋体"/>
          <w:color w:val="000000"/>
          <w:kern w:val="0"/>
          <w:sz w:val="24"/>
          <w:szCs w:val="24"/>
          <w:u w:val="none"/>
          <w:lang w:val="en-US" w:eastAsia="zh-CN"/>
        </w:rPr>
        <w:t>工程包括道路建设及改造；</w:t>
      </w:r>
    </w:p>
    <w:p>
      <w:pPr>
        <w:keepNext w:val="0"/>
        <w:pageBreakBefore w:val="0"/>
        <w:wordWrap/>
        <w:overflowPunct/>
        <w:topLinePunct w:val="0"/>
        <w:autoSpaceDE/>
        <w:autoSpaceDN/>
        <w:bidi w:val="0"/>
        <w:snapToGrid/>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2.5 </w:t>
      </w:r>
      <w:r>
        <w:rPr>
          <w:rFonts w:hint="eastAsia" w:ascii="宋体" w:hAnsi="宋体" w:eastAsia="宋体" w:cs="宋体"/>
          <w:color w:val="auto"/>
          <w:sz w:val="24"/>
          <w:szCs w:val="24"/>
        </w:rPr>
        <w:t>施工工期：</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日历天；监理服务期限：</w:t>
      </w:r>
      <w:r>
        <w:rPr>
          <w:rFonts w:hint="eastAsia" w:ascii="宋体" w:hAnsi="宋体" w:eastAsia="宋体" w:cs="宋体"/>
          <w:color w:val="auto"/>
          <w:sz w:val="24"/>
          <w:szCs w:val="24"/>
          <w:shd w:val="clear" w:color="auto" w:fill="FFFFFF"/>
        </w:rPr>
        <w:t>随施工工期及缺陷责任期</w:t>
      </w:r>
    </w:p>
    <w:p>
      <w:pPr>
        <w:keepNext w:val="0"/>
        <w:pageBreakBefore w:val="0"/>
        <w:wordWrap/>
        <w:overflowPunct/>
        <w:topLinePunct w:val="0"/>
        <w:autoSpaceDE/>
        <w:autoSpaceDN/>
        <w:bidi w:val="0"/>
        <w:snapToGrid/>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2.5招标范围：</w:t>
      </w:r>
    </w:p>
    <w:p>
      <w:pPr>
        <w:keepNext w:val="0"/>
        <w:pageBreakBefore w:val="0"/>
        <w:wordWrap/>
        <w:overflowPunct/>
        <w:topLinePunct w:val="0"/>
        <w:autoSpaceDE/>
        <w:autoSpaceDN/>
        <w:bidi w:val="0"/>
        <w:snapToGrid/>
        <w:spacing w:line="360"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施工标段：</w:t>
      </w:r>
      <w:r>
        <w:rPr>
          <w:rFonts w:hint="eastAsia" w:ascii="宋体" w:hAnsi="宋体" w:eastAsia="宋体" w:cs="宋体"/>
          <w:color w:val="auto"/>
          <w:sz w:val="24"/>
          <w:szCs w:val="24"/>
          <w:lang w:eastAsia="zh-CN"/>
        </w:rPr>
        <w:t>本项目</w:t>
      </w:r>
      <w:r>
        <w:rPr>
          <w:rFonts w:hint="eastAsia" w:ascii="宋体" w:hAnsi="宋体" w:eastAsia="宋体" w:cs="宋体"/>
          <w:color w:val="auto"/>
          <w:sz w:val="24"/>
          <w:szCs w:val="24"/>
        </w:rPr>
        <w:t>招标文件</w:t>
      </w:r>
      <w:r>
        <w:rPr>
          <w:rFonts w:hint="eastAsia" w:ascii="宋体" w:hAnsi="宋体" w:eastAsia="宋体" w:cs="宋体"/>
          <w:color w:val="auto"/>
          <w:sz w:val="24"/>
          <w:szCs w:val="24"/>
          <w:lang w:eastAsia="zh-CN"/>
        </w:rPr>
        <w:t>、设计图纸</w:t>
      </w:r>
      <w:r>
        <w:rPr>
          <w:rFonts w:hint="eastAsia" w:ascii="宋体" w:hAnsi="宋体" w:eastAsia="宋体" w:cs="宋体"/>
          <w:color w:val="auto"/>
          <w:sz w:val="24"/>
          <w:szCs w:val="24"/>
        </w:rPr>
        <w:t>内要求的全部内容</w:t>
      </w:r>
    </w:p>
    <w:p>
      <w:pPr>
        <w:keepNext w:val="0"/>
        <w:pageBreakBefore w:val="0"/>
        <w:wordWrap/>
        <w:overflowPunct/>
        <w:topLinePunct w:val="0"/>
        <w:autoSpaceDE/>
        <w:autoSpaceDN/>
        <w:bidi w:val="0"/>
        <w:snapToGrid/>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 xml:space="preserve">监理标段：施工阶段及缺陷责任期内全过程监理服务     </w:t>
      </w:r>
    </w:p>
    <w:p>
      <w:pPr>
        <w:keepNext w:val="0"/>
        <w:pageBreakBefore w:val="0"/>
        <w:wordWrap/>
        <w:overflowPunct/>
        <w:topLinePunct w:val="0"/>
        <w:autoSpaceDE/>
        <w:autoSpaceDN/>
        <w:bidi w:val="0"/>
        <w:snapToGrid/>
        <w:spacing w:line="360" w:lineRule="auto"/>
        <w:ind w:firstLine="240" w:firstLineChars="100"/>
        <w:rPr>
          <w:rFonts w:hint="eastAsia" w:ascii="宋体" w:hAnsi="宋体" w:eastAsia="宋体" w:cs="宋体"/>
          <w:sz w:val="24"/>
          <w:szCs w:val="24"/>
          <w:lang w:eastAsia="zh-CN"/>
        </w:rPr>
      </w:pPr>
      <w:r>
        <w:rPr>
          <w:rFonts w:hint="eastAsia" w:ascii="宋体" w:hAnsi="宋体" w:eastAsia="宋体" w:cs="宋体"/>
          <w:sz w:val="24"/>
          <w:szCs w:val="24"/>
        </w:rPr>
        <w:t xml:space="preserve">2.6建设地点: </w:t>
      </w:r>
      <w:r>
        <w:rPr>
          <w:rFonts w:hint="eastAsia" w:ascii="宋体" w:hAnsi="宋体" w:eastAsia="宋体" w:cs="宋体"/>
          <w:sz w:val="24"/>
          <w:szCs w:val="24"/>
          <w:lang w:eastAsia="zh-CN"/>
        </w:rPr>
        <w:t>杞县境内</w:t>
      </w:r>
    </w:p>
    <w:p>
      <w:pPr>
        <w:keepNext w:val="0"/>
        <w:pageBreakBefore w:val="0"/>
        <w:wordWrap/>
        <w:overflowPunct/>
        <w:topLinePunct w:val="0"/>
        <w:autoSpaceDE/>
        <w:autoSpaceDN/>
        <w:bidi w:val="0"/>
        <w:snapToGrid/>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2.7标段划分：本项目共划分</w:t>
      </w:r>
      <w:r>
        <w:rPr>
          <w:rFonts w:hint="eastAsia" w:ascii="宋体" w:hAnsi="宋体" w:eastAsia="宋体" w:cs="宋体"/>
          <w:sz w:val="24"/>
          <w:szCs w:val="24"/>
          <w:lang w:val="en-US" w:eastAsia="zh-CN"/>
        </w:rPr>
        <w:t>7个</w:t>
      </w:r>
      <w:r>
        <w:rPr>
          <w:rFonts w:hint="eastAsia" w:ascii="宋体" w:hAnsi="宋体" w:eastAsia="宋体" w:cs="宋体"/>
          <w:sz w:val="24"/>
          <w:szCs w:val="24"/>
        </w:rPr>
        <w:t>标段</w:t>
      </w:r>
      <w:r>
        <w:rPr>
          <w:rFonts w:hint="eastAsia" w:ascii="宋体" w:hAnsi="宋体" w:eastAsia="宋体" w:cs="宋体"/>
          <w:sz w:val="24"/>
          <w:szCs w:val="24"/>
          <w:lang w:eastAsia="zh-CN"/>
        </w:rPr>
        <w:t>。其中施工</w:t>
      </w:r>
      <w:r>
        <w:rPr>
          <w:rFonts w:hint="eastAsia" w:ascii="宋体" w:hAnsi="宋体" w:eastAsia="宋体" w:cs="宋体"/>
          <w:sz w:val="24"/>
          <w:szCs w:val="24"/>
          <w:lang w:val="en-US" w:eastAsia="zh-CN"/>
        </w:rPr>
        <w:t>6个标段，</w:t>
      </w:r>
      <w:r>
        <w:rPr>
          <w:rFonts w:hint="eastAsia" w:ascii="宋体" w:hAnsi="宋体" w:eastAsia="宋体" w:cs="宋体"/>
          <w:sz w:val="24"/>
          <w:szCs w:val="24"/>
        </w:rPr>
        <w:t>监理1个标段。</w:t>
      </w:r>
    </w:p>
    <w:tbl>
      <w:tblPr>
        <w:tblStyle w:val="9"/>
        <w:tblpPr w:leftFromText="180" w:rightFromText="180" w:vertAnchor="text" w:horzAnchor="page" w:tblpX="1213" w:tblpY="3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348"/>
        <w:gridCol w:w="5293"/>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l2br w:val="single" w:color="auto" w:sz="4" w:space="0"/>
            </w:tcBorders>
            <w:noWrap w:val="0"/>
            <w:vAlign w:val="center"/>
          </w:tcPr>
          <w:p>
            <w:pPr>
              <w:pStyle w:val="7"/>
              <w:keepNext w:val="0"/>
              <w:pageBreakBefore w:val="0"/>
              <w:wordWrap/>
              <w:overflowPunct/>
              <w:topLinePunct w:val="0"/>
              <w:autoSpaceDE/>
              <w:autoSpaceDN/>
              <w:bidi w:val="0"/>
              <w:snapToGrid/>
              <w:spacing w:line="240" w:lineRule="auto"/>
              <w:jc w:val="center"/>
              <w:rPr>
                <w:rFonts w:hint="eastAsia" w:ascii="宋体" w:hAnsi="宋体" w:eastAsia="宋体" w:cs="宋体"/>
                <w:sz w:val="24"/>
                <w:szCs w:val="24"/>
                <w:vertAlign w:val="baseline"/>
                <w:lang w:val="en-US" w:eastAsia="zh-CN"/>
              </w:rPr>
            </w:pPr>
          </w:p>
        </w:tc>
        <w:tc>
          <w:tcPr>
            <w:tcW w:w="1348" w:type="dxa"/>
            <w:noWrap w:val="0"/>
            <w:vAlign w:val="center"/>
          </w:tcPr>
          <w:p>
            <w:pPr>
              <w:pStyle w:val="7"/>
              <w:keepNext w:val="0"/>
              <w:pageBreakBefore w:val="0"/>
              <w:wordWrap/>
              <w:overflowPunct/>
              <w:topLinePunct w:val="0"/>
              <w:autoSpaceDE/>
              <w:autoSpaceDN/>
              <w:bidi w:val="0"/>
              <w:snapToGrid/>
              <w:spacing w:line="240" w:lineRule="auto"/>
              <w:ind w:left="0" w:leftChars="0"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标段号</w:t>
            </w:r>
          </w:p>
        </w:tc>
        <w:tc>
          <w:tcPr>
            <w:tcW w:w="5293" w:type="dxa"/>
            <w:noWrap w:val="0"/>
            <w:vAlign w:val="center"/>
          </w:tcPr>
          <w:p>
            <w:pPr>
              <w:pStyle w:val="7"/>
              <w:keepNext w:val="0"/>
              <w:pageBreakBefore w:val="0"/>
              <w:wordWrap/>
              <w:overflowPunct/>
              <w:topLinePunct w:val="0"/>
              <w:autoSpaceDE/>
              <w:autoSpaceDN/>
              <w:bidi w:val="0"/>
              <w:snapToGrid/>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标段内容</w:t>
            </w:r>
          </w:p>
        </w:tc>
        <w:tc>
          <w:tcPr>
            <w:tcW w:w="1736" w:type="dxa"/>
            <w:noWrap w:val="0"/>
            <w:vAlign w:val="center"/>
          </w:tcPr>
          <w:p>
            <w:pPr>
              <w:pStyle w:val="7"/>
              <w:keepNext w:val="0"/>
              <w:pageBreakBefore w:val="0"/>
              <w:wordWrap/>
              <w:overflowPunct/>
              <w:topLinePunct w:val="0"/>
              <w:autoSpaceDE/>
              <w:autoSpaceDN/>
              <w:bidi w:val="0"/>
              <w:snapToGrid/>
              <w:spacing w:line="240" w:lineRule="auto"/>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控制价（万元）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276" w:type="dxa"/>
            <w:vMerge w:val="restart"/>
            <w:noWrap w:val="0"/>
            <w:vAlign w:val="center"/>
          </w:tcPr>
          <w:p>
            <w:pPr>
              <w:pStyle w:val="7"/>
              <w:keepNext w:val="0"/>
              <w:pageBreakBefore w:val="0"/>
              <w:wordWrap/>
              <w:overflowPunct/>
              <w:topLinePunct w:val="0"/>
              <w:autoSpaceDE/>
              <w:autoSpaceDN/>
              <w:bidi w:val="0"/>
              <w:snapToGrid/>
              <w:spacing w:line="240" w:lineRule="auto"/>
              <w:jc w:val="center"/>
              <w:rPr>
                <w:rFonts w:hint="eastAsia" w:ascii="宋体" w:hAnsi="宋体" w:eastAsia="宋体" w:cs="宋体"/>
                <w:sz w:val="24"/>
                <w:szCs w:val="24"/>
                <w:vertAlign w:val="baseline"/>
                <w:lang w:val="en-US" w:eastAsia="zh-CN"/>
              </w:rPr>
            </w:pPr>
          </w:p>
          <w:p>
            <w:pPr>
              <w:pStyle w:val="7"/>
              <w:keepNext w:val="0"/>
              <w:pageBreakBefore w:val="0"/>
              <w:wordWrap/>
              <w:overflowPunct/>
              <w:topLinePunct w:val="0"/>
              <w:autoSpaceDE/>
              <w:autoSpaceDN/>
              <w:bidi w:val="0"/>
              <w:snapToGrid/>
              <w:spacing w:line="240" w:lineRule="auto"/>
              <w:jc w:val="center"/>
              <w:rPr>
                <w:rFonts w:hint="eastAsia" w:ascii="宋体" w:hAnsi="宋体" w:eastAsia="宋体" w:cs="宋体"/>
                <w:sz w:val="24"/>
                <w:szCs w:val="24"/>
                <w:vertAlign w:val="baseline"/>
                <w:lang w:val="en-US" w:eastAsia="zh-CN"/>
              </w:rPr>
            </w:pPr>
          </w:p>
          <w:p>
            <w:pPr>
              <w:pStyle w:val="7"/>
              <w:keepNext w:val="0"/>
              <w:pageBreakBefore w:val="0"/>
              <w:wordWrap/>
              <w:overflowPunct/>
              <w:topLinePunct w:val="0"/>
              <w:autoSpaceDE/>
              <w:autoSpaceDN/>
              <w:bidi w:val="0"/>
              <w:snapToGrid/>
              <w:spacing w:line="240" w:lineRule="auto"/>
              <w:jc w:val="center"/>
              <w:rPr>
                <w:rFonts w:hint="eastAsia" w:ascii="宋体" w:hAnsi="宋体" w:eastAsia="宋体" w:cs="宋体"/>
                <w:sz w:val="24"/>
                <w:szCs w:val="24"/>
                <w:vertAlign w:val="baseline"/>
                <w:lang w:val="en-US" w:eastAsia="zh-CN"/>
              </w:rPr>
            </w:pPr>
          </w:p>
          <w:p>
            <w:pPr>
              <w:pStyle w:val="7"/>
              <w:keepNext w:val="0"/>
              <w:pageBreakBefore w:val="0"/>
              <w:wordWrap/>
              <w:overflowPunct/>
              <w:topLinePunct w:val="0"/>
              <w:autoSpaceDE/>
              <w:autoSpaceDN/>
              <w:bidi w:val="0"/>
              <w:snapToGrid/>
              <w:spacing w:line="240" w:lineRule="auto"/>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施工标段</w:t>
            </w:r>
          </w:p>
        </w:tc>
        <w:tc>
          <w:tcPr>
            <w:tcW w:w="1348" w:type="dxa"/>
            <w:noWrap w:val="0"/>
            <w:vAlign w:val="center"/>
          </w:tcPr>
          <w:p>
            <w:pPr>
              <w:pStyle w:val="7"/>
              <w:keepNext w:val="0"/>
              <w:pageBreakBefore w:val="0"/>
              <w:wordWrap/>
              <w:overflowPunct/>
              <w:topLinePunct w:val="0"/>
              <w:autoSpaceDE/>
              <w:autoSpaceDN/>
              <w:bidi w:val="0"/>
              <w:snapToGrid/>
              <w:spacing w:line="240" w:lineRule="auto"/>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第一标段</w:t>
            </w:r>
          </w:p>
        </w:tc>
        <w:tc>
          <w:tcPr>
            <w:tcW w:w="5293" w:type="dxa"/>
            <w:noWrap w:val="0"/>
            <w:vAlign w:val="center"/>
          </w:tcPr>
          <w:p>
            <w:pPr>
              <w:pStyle w:val="7"/>
              <w:keepNext w:val="0"/>
              <w:pageBreakBefore w:val="0"/>
              <w:wordWrap/>
              <w:overflowPunct/>
              <w:topLinePunct w:val="0"/>
              <w:autoSpaceDE/>
              <w:autoSpaceDN/>
              <w:bidi w:val="0"/>
              <w:snapToGrid/>
              <w:spacing w:line="240" w:lineRule="auto"/>
              <w:ind w:left="0" w:leftChars="0" w:firstLine="0" w:firstLine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西寨（肖寨）建设面积约14177.48㎡</w:t>
            </w:r>
          </w:p>
        </w:tc>
        <w:tc>
          <w:tcPr>
            <w:tcW w:w="1736" w:type="dxa"/>
            <w:noWrap w:val="0"/>
            <w:vAlign w:val="center"/>
          </w:tcPr>
          <w:p>
            <w:pPr>
              <w:pStyle w:val="7"/>
              <w:keepNext w:val="0"/>
              <w:pageBreakBefore w:val="0"/>
              <w:wordWrap/>
              <w:overflowPunct/>
              <w:topLinePunct w:val="0"/>
              <w:autoSpaceDE/>
              <w:autoSpaceDN/>
              <w:bidi w:val="0"/>
              <w:snapToGrid/>
              <w:spacing w:line="240" w:lineRule="auto"/>
              <w:ind w:left="0" w:leftChars="0" w:firstLine="0" w:firstLineChars="0"/>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155.95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276" w:type="dxa"/>
            <w:vMerge w:val="continue"/>
            <w:noWrap w:val="0"/>
            <w:vAlign w:val="center"/>
          </w:tcPr>
          <w:p>
            <w:pPr>
              <w:pStyle w:val="7"/>
              <w:keepNext w:val="0"/>
              <w:pageBreakBefore w:val="0"/>
              <w:wordWrap/>
              <w:overflowPunct/>
              <w:topLinePunct w:val="0"/>
              <w:autoSpaceDE/>
              <w:autoSpaceDN/>
              <w:bidi w:val="0"/>
              <w:snapToGrid/>
              <w:spacing w:line="240" w:lineRule="auto"/>
              <w:jc w:val="center"/>
              <w:rPr>
                <w:rFonts w:hint="eastAsia" w:ascii="宋体" w:hAnsi="宋体" w:eastAsia="宋体" w:cs="宋体"/>
                <w:sz w:val="24"/>
                <w:szCs w:val="24"/>
                <w:vertAlign w:val="baseline"/>
                <w:lang w:val="en-US" w:eastAsia="zh-CN"/>
              </w:rPr>
            </w:pPr>
          </w:p>
        </w:tc>
        <w:tc>
          <w:tcPr>
            <w:tcW w:w="1348" w:type="dxa"/>
            <w:noWrap w:val="0"/>
            <w:vAlign w:val="center"/>
          </w:tcPr>
          <w:p>
            <w:pPr>
              <w:pStyle w:val="7"/>
              <w:keepNext w:val="0"/>
              <w:pageBreakBefore w:val="0"/>
              <w:wordWrap/>
              <w:overflowPunct/>
              <w:topLinePunct w:val="0"/>
              <w:autoSpaceDE/>
              <w:autoSpaceDN/>
              <w:bidi w:val="0"/>
              <w:snapToGrid/>
              <w:spacing w:line="240" w:lineRule="auto"/>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第二标段</w:t>
            </w:r>
          </w:p>
        </w:tc>
        <w:tc>
          <w:tcPr>
            <w:tcW w:w="5293" w:type="dxa"/>
            <w:noWrap w:val="0"/>
            <w:vAlign w:val="center"/>
          </w:tcPr>
          <w:p>
            <w:pPr>
              <w:pStyle w:val="7"/>
              <w:keepNext w:val="0"/>
              <w:pageBreakBefore w:val="0"/>
              <w:wordWrap/>
              <w:overflowPunct/>
              <w:topLinePunct w:val="0"/>
              <w:autoSpaceDE/>
              <w:autoSpaceDN/>
              <w:bidi w:val="0"/>
              <w:snapToGrid/>
              <w:spacing w:line="240" w:lineRule="auto"/>
              <w:ind w:left="0" w:leftChars="0" w:firstLine="0" w:firstLine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沙沃（闫口）建设面积约4812㎡；苏木（刘庄）建设面积约5006.7㎡；总建设面积约9818.7㎡。</w:t>
            </w:r>
          </w:p>
        </w:tc>
        <w:tc>
          <w:tcPr>
            <w:tcW w:w="1736" w:type="dxa"/>
            <w:noWrap w:val="0"/>
            <w:vAlign w:val="center"/>
          </w:tcPr>
          <w:p>
            <w:pPr>
              <w:pStyle w:val="7"/>
              <w:keepNext w:val="0"/>
              <w:pageBreakBefore w:val="0"/>
              <w:wordWrap/>
              <w:overflowPunct/>
              <w:topLinePunct w:val="0"/>
              <w:autoSpaceDE/>
              <w:autoSpaceDN/>
              <w:bidi w:val="0"/>
              <w:snapToGrid/>
              <w:spacing w:line="240" w:lineRule="auto"/>
              <w:ind w:left="0" w:leftChars="0" w:firstLine="0" w:firstLineChars="0"/>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76" w:type="dxa"/>
            <w:vMerge w:val="continue"/>
            <w:noWrap w:val="0"/>
            <w:vAlign w:val="center"/>
          </w:tcPr>
          <w:p>
            <w:pPr>
              <w:pStyle w:val="7"/>
              <w:keepNext w:val="0"/>
              <w:pageBreakBefore w:val="0"/>
              <w:wordWrap/>
              <w:overflowPunct/>
              <w:topLinePunct w:val="0"/>
              <w:autoSpaceDE/>
              <w:autoSpaceDN/>
              <w:bidi w:val="0"/>
              <w:snapToGrid/>
              <w:spacing w:line="240" w:lineRule="auto"/>
              <w:jc w:val="center"/>
              <w:rPr>
                <w:rFonts w:hint="eastAsia" w:ascii="宋体" w:hAnsi="宋体" w:eastAsia="宋体" w:cs="宋体"/>
                <w:sz w:val="24"/>
                <w:szCs w:val="24"/>
                <w:vertAlign w:val="baseline"/>
                <w:lang w:val="en-US" w:eastAsia="zh-CN"/>
              </w:rPr>
            </w:pPr>
          </w:p>
        </w:tc>
        <w:tc>
          <w:tcPr>
            <w:tcW w:w="1348" w:type="dxa"/>
            <w:noWrap w:val="0"/>
            <w:vAlign w:val="center"/>
          </w:tcPr>
          <w:p>
            <w:pPr>
              <w:pStyle w:val="7"/>
              <w:keepNext w:val="0"/>
              <w:pageBreakBefore w:val="0"/>
              <w:wordWrap/>
              <w:overflowPunct/>
              <w:topLinePunct w:val="0"/>
              <w:autoSpaceDE/>
              <w:autoSpaceDN/>
              <w:bidi w:val="0"/>
              <w:snapToGrid/>
              <w:spacing w:line="240" w:lineRule="auto"/>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第三标段</w:t>
            </w:r>
          </w:p>
        </w:tc>
        <w:tc>
          <w:tcPr>
            <w:tcW w:w="5293" w:type="dxa"/>
            <w:noWrap w:val="0"/>
            <w:vAlign w:val="center"/>
          </w:tcPr>
          <w:p>
            <w:pPr>
              <w:pStyle w:val="7"/>
              <w:keepNext w:val="0"/>
              <w:pageBreakBefore w:val="0"/>
              <w:wordWrap/>
              <w:overflowPunct/>
              <w:topLinePunct w:val="0"/>
              <w:autoSpaceDE/>
              <w:autoSpaceDN/>
              <w:bidi w:val="0"/>
              <w:snapToGrid/>
              <w:spacing w:line="240" w:lineRule="auto"/>
              <w:ind w:left="0" w:leftChars="0" w:firstLine="0" w:firstLine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湖岗（左洼）建设面积约46544.72㎡</w:t>
            </w:r>
          </w:p>
        </w:tc>
        <w:tc>
          <w:tcPr>
            <w:tcW w:w="1736" w:type="dxa"/>
            <w:noWrap w:val="0"/>
            <w:vAlign w:val="center"/>
          </w:tcPr>
          <w:p>
            <w:pPr>
              <w:pStyle w:val="7"/>
              <w:keepNext w:val="0"/>
              <w:pageBreakBefore w:val="0"/>
              <w:wordWrap/>
              <w:overflowPunct/>
              <w:topLinePunct w:val="0"/>
              <w:autoSpaceDE/>
              <w:autoSpaceDN/>
              <w:bidi w:val="0"/>
              <w:snapToGrid/>
              <w:spacing w:line="240" w:lineRule="auto"/>
              <w:ind w:left="0" w:leftChars="0" w:firstLine="0" w:firstLineChars="0"/>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511.99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1276" w:type="dxa"/>
            <w:vMerge w:val="continue"/>
            <w:noWrap w:val="0"/>
            <w:vAlign w:val="center"/>
          </w:tcPr>
          <w:p>
            <w:pPr>
              <w:pStyle w:val="7"/>
              <w:keepNext w:val="0"/>
              <w:pageBreakBefore w:val="0"/>
              <w:wordWrap/>
              <w:overflowPunct/>
              <w:topLinePunct w:val="0"/>
              <w:autoSpaceDE/>
              <w:autoSpaceDN/>
              <w:bidi w:val="0"/>
              <w:snapToGrid/>
              <w:spacing w:line="240" w:lineRule="auto"/>
              <w:jc w:val="center"/>
              <w:rPr>
                <w:rFonts w:hint="eastAsia" w:ascii="宋体" w:hAnsi="宋体" w:eastAsia="宋体" w:cs="宋体"/>
                <w:sz w:val="24"/>
                <w:szCs w:val="24"/>
                <w:vertAlign w:val="baseline"/>
                <w:lang w:val="en-US" w:eastAsia="zh-CN"/>
              </w:rPr>
            </w:pPr>
          </w:p>
        </w:tc>
        <w:tc>
          <w:tcPr>
            <w:tcW w:w="1348" w:type="dxa"/>
            <w:noWrap w:val="0"/>
            <w:vAlign w:val="center"/>
          </w:tcPr>
          <w:p>
            <w:pPr>
              <w:pStyle w:val="7"/>
              <w:keepNext w:val="0"/>
              <w:pageBreakBefore w:val="0"/>
              <w:wordWrap/>
              <w:overflowPunct/>
              <w:topLinePunct w:val="0"/>
              <w:autoSpaceDE/>
              <w:autoSpaceDN/>
              <w:bidi w:val="0"/>
              <w:snapToGrid/>
              <w:spacing w:line="240" w:lineRule="auto"/>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第四标段</w:t>
            </w:r>
          </w:p>
        </w:tc>
        <w:tc>
          <w:tcPr>
            <w:tcW w:w="5293" w:type="dxa"/>
            <w:noWrap w:val="0"/>
            <w:vAlign w:val="center"/>
          </w:tcPr>
          <w:p>
            <w:pPr>
              <w:pStyle w:val="7"/>
              <w:keepNext w:val="0"/>
              <w:pageBreakBefore w:val="0"/>
              <w:wordWrap/>
              <w:overflowPunct/>
              <w:topLinePunct w:val="0"/>
              <w:autoSpaceDE/>
              <w:autoSpaceDN/>
              <w:bidi w:val="0"/>
              <w:snapToGrid/>
              <w:spacing w:line="240" w:lineRule="auto"/>
              <w:ind w:left="0" w:leftChars="0" w:firstLine="0" w:firstLine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圉镇（常庄）建设面积约7008.08㎡；竹林（梁寨）建设面积约7459.8㎡；总建设面积约14467.88㎡。</w:t>
            </w:r>
          </w:p>
        </w:tc>
        <w:tc>
          <w:tcPr>
            <w:tcW w:w="1736" w:type="dxa"/>
            <w:noWrap w:val="0"/>
            <w:vAlign w:val="center"/>
          </w:tcPr>
          <w:p>
            <w:pPr>
              <w:pStyle w:val="7"/>
              <w:keepNext w:val="0"/>
              <w:pageBreakBefore w:val="0"/>
              <w:wordWrap/>
              <w:overflowPunct/>
              <w:topLinePunct w:val="0"/>
              <w:autoSpaceDE/>
              <w:autoSpaceDN/>
              <w:bidi w:val="0"/>
              <w:snapToGrid/>
              <w:spacing w:line="240" w:lineRule="auto"/>
              <w:ind w:left="0" w:leftChars="0" w:firstLine="0" w:firstLineChars="0"/>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159.15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276" w:type="dxa"/>
            <w:vMerge w:val="continue"/>
            <w:noWrap w:val="0"/>
            <w:vAlign w:val="center"/>
          </w:tcPr>
          <w:p>
            <w:pPr>
              <w:pStyle w:val="7"/>
              <w:keepNext w:val="0"/>
              <w:pageBreakBefore w:val="0"/>
              <w:wordWrap/>
              <w:overflowPunct/>
              <w:topLinePunct w:val="0"/>
              <w:autoSpaceDE/>
              <w:autoSpaceDN/>
              <w:bidi w:val="0"/>
              <w:snapToGrid/>
              <w:spacing w:line="240" w:lineRule="auto"/>
              <w:jc w:val="center"/>
              <w:rPr>
                <w:rFonts w:hint="eastAsia" w:ascii="宋体" w:hAnsi="宋体" w:eastAsia="宋体" w:cs="宋体"/>
                <w:sz w:val="24"/>
                <w:szCs w:val="24"/>
                <w:vertAlign w:val="baseline"/>
                <w:lang w:val="en-US" w:eastAsia="zh-CN"/>
              </w:rPr>
            </w:pPr>
          </w:p>
        </w:tc>
        <w:tc>
          <w:tcPr>
            <w:tcW w:w="1348" w:type="dxa"/>
            <w:noWrap w:val="0"/>
            <w:vAlign w:val="center"/>
          </w:tcPr>
          <w:p>
            <w:pPr>
              <w:pStyle w:val="7"/>
              <w:keepNext w:val="0"/>
              <w:pageBreakBefore w:val="0"/>
              <w:wordWrap/>
              <w:overflowPunct/>
              <w:topLinePunct w:val="0"/>
              <w:autoSpaceDE/>
              <w:autoSpaceDN/>
              <w:bidi w:val="0"/>
              <w:snapToGrid/>
              <w:spacing w:line="240" w:lineRule="auto"/>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第五标段</w:t>
            </w:r>
          </w:p>
        </w:tc>
        <w:tc>
          <w:tcPr>
            <w:tcW w:w="5293" w:type="dxa"/>
            <w:noWrap w:val="0"/>
            <w:vAlign w:val="center"/>
          </w:tcPr>
          <w:p>
            <w:pPr>
              <w:pStyle w:val="7"/>
              <w:keepNext w:val="0"/>
              <w:pageBreakBefore w:val="0"/>
              <w:wordWrap/>
              <w:overflowPunct/>
              <w:topLinePunct w:val="0"/>
              <w:autoSpaceDE/>
              <w:autoSpaceDN/>
              <w:bidi w:val="0"/>
              <w:snapToGrid/>
              <w:spacing w:line="240" w:lineRule="auto"/>
              <w:ind w:left="0" w:leftChars="0" w:firstLine="0" w:firstLine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傅集（申纪）建设面积约7017.8㎡；（李店）8062.8㎡；总建设面积约15080.6㎡.</w:t>
            </w:r>
          </w:p>
        </w:tc>
        <w:tc>
          <w:tcPr>
            <w:tcW w:w="1736" w:type="dxa"/>
            <w:noWrap w:val="0"/>
            <w:vAlign w:val="center"/>
          </w:tcPr>
          <w:p>
            <w:pPr>
              <w:pStyle w:val="7"/>
              <w:keepNext w:val="0"/>
              <w:pageBreakBefore w:val="0"/>
              <w:wordWrap/>
              <w:overflowPunct/>
              <w:topLinePunct w:val="0"/>
              <w:autoSpaceDE/>
              <w:autoSpaceDN/>
              <w:bidi w:val="0"/>
              <w:snapToGrid/>
              <w:spacing w:line="240" w:lineRule="auto"/>
              <w:ind w:left="0" w:leftChars="0" w:firstLine="0" w:firstLineChars="0"/>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165.89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76" w:type="dxa"/>
            <w:vMerge w:val="continue"/>
            <w:noWrap w:val="0"/>
            <w:vAlign w:val="center"/>
          </w:tcPr>
          <w:p>
            <w:pPr>
              <w:pStyle w:val="7"/>
              <w:keepNext w:val="0"/>
              <w:pageBreakBefore w:val="0"/>
              <w:wordWrap/>
              <w:overflowPunct/>
              <w:topLinePunct w:val="0"/>
              <w:autoSpaceDE/>
              <w:autoSpaceDN/>
              <w:bidi w:val="0"/>
              <w:snapToGrid/>
              <w:spacing w:line="240" w:lineRule="auto"/>
              <w:jc w:val="center"/>
              <w:rPr>
                <w:rFonts w:hint="eastAsia" w:ascii="宋体" w:hAnsi="宋体" w:eastAsia="宋体" w:cs="宋体"/>
                <w:sz w:val="24"/>
                <w:szCs w:val="24"/>
                <w:vertAlign w:val="baseline"/>
                <w:lang w:val="en-US" w:eastAsia="zh-CN"/>
              </w:rPr>
            </w:pPr>
          </w:p>
        </w:tc>
        <w:tc>
          <w:tcPr>
            <w:tcW w:w="1348" w:type="dxa"/>
            <w:noWrap w:val="0"/>
            <w:vAlign w:val="center"/>
          </w:tcPr>
          <w:p>
            <w:pPr>
              <w:pStyle w:val="7"/>
              <w:keepNext w:val="0"/>
              <w:pageBreakBefore w:val="0"/>
              <w:wordWrap/>
              <w:overflowPunct/>
              <w:topLinePunct w:val="0"/>
              <w:autoSpaceDE/>
              <w:autoSpaceDN/>
              <w:bidi w:val="0"/>
              <w:snapToGrid/>
              <w:spacing w:line="240" w:lineRule="auto"/>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第六标段</w:t>
            </w:r>
          </w:p>
        </w:tc>
        <w:tc>
          <w:tcPr>
            <w:tcW w:w="5293" w:type="dxa"/>
            <w:noWrap w:val="0"/>
            <w:vAlign w:val="center"/>
          </w:tcPr>
          <w:p>
            <w:pPr>
              <w:pStyle w:val="7"/>
              <w:keepNext w:val="0"/>
              <w:pageBreakBefore w:val="0"/>
              <w:wordWrap/>
              <w:overflowPunct/>
              <w:topLinePunct w:val="0"/>
              <w:autoSpaceDE/>
              <w:autoSpaceDN/>
              <w:bidi w:val="0"/>
              <w:snapToGrid/>
              <w:spacing w:line="240" w:lineRule="auto"/>
              <w:ind w:left="0" w:leftChars="0" w:firstLine="0" w:firstLine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傅集（吕寨）建设面积约22472.3㎡</w:t>
            </w:r>
          </w:p>
        </w:tc>
        <w:tc>
          <w:tcPr>
            <w:tcW w:w="1736" w:type="dxa"/>
            <w:noWrap w:val="0"/>
            <w:vAlign w:val="center"/>
          </w:tcPr>
          <w:p>
            <w:pPr>
              <w:pStyle w:val="7"/>
              <w:keepNext w:val="0"/>
              <w:pageBreakBefore w:val="0"/>
              <w:wordWrap/>
              <w:overflowPunct/>
              <w:topLinePunct w:val="0"/>
              <w:autoSpaceDE/>
              <w:autoSpaceDN/>
              <w:bidi w:val="0"/>
              <w:snapToGrid/>
              <w:spacing w:line="240" w:lineRule="auto"/>
              <w:ind w:left="0" w:leftChars="0" w:firstLine="0" w:firstLineChars="0"/>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247.2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76" w:type="dxa"/>
            <w:noWrap w:val="0"/>
            <w:vAlign w:val="center"/>
          </w:tcPr>
          <w:p>
            <w:pPr>
              <w:pStyle w:val="7"/>
              <w:keepNext w:val="0"/>
              <w:pageBreakBefore w:val="0"/>
              <w:wordWrap/>
              <w:overflowPunct/>
              <w:topLinePunct w:val="0"/>
              <w:autoSpaceDE/>
              <w:autoSpaceDN/>
              <w:bidi w:val="0"/>
              <w:snapToGrid/>
              <w:spacing w:line="240" w:lineRule="auto"/>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监理标段</w:t>
            </w:r>
          </w:p>
        </w:tc>
        <w:tc>
          <w:tcPr>
            <w:tcW w:w="1348" w:type="dxa"/>
            <w:noWrap w:val="0"/>
            <w:vAlign w:val="center"/>
          </w:tcPr>
          <w:p>
            <w:pPr>
              <w:pStyle w:val="7"/>
              <w:keepNext w:val="0"/>
              <w:pageBreakBefore w:val="0"/>
              <w:wordWrap/>
              <w:overflowPunct/>
              <w:topLinePunct w:val="0"/>
              <w:autoSpaceDE/>
              <w:autoSpaceDN/>
              <w:bidi w:val="0"/>
              <w:snapToGrid/>
              <w:spacing w:line="240" w:lineRule="auto"/>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第七标段</w:t>
            </w:r>
          </w:p>
        </w:tc>
        <w:tc>
          <w:tcPr>
            <w:tcW w:w="5293" w:type="dxa"/>
            <w:noWrap w:val="0"/>
            <w:vAlign w:val="center"/>
          </w:tcPr>
          <w:p>
            <w:pPr>
              <w:pStyle w:val="7"/>
              <w:keepNext w:val="0"/>
              <w:pageBreakBefore w:val="0"/>
              <w:wordWrap/>
              <w:overflowPunct/>
              <w:topLinePunct w:val="0"/>
              <w:autoSpaceDE/>
              <w:autoSpaceDN/>
              <w:bidi w:val="0"/>
              <w:snapToGrid/>
              <w:spacing w:line="240" w:lineRule="auto"/>
              <w:ind w:left="0" w:leftChars="0" w:firstLine="0" w:firstLine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施工阶段及缺陷责任期内全过程监理服务</w:t>
            </w:r>
          </w:p>
        </w:tc>
        <w:tc>
          <w:tcPr>
            <w:tcW w:w="1736" w:type="dxa"/>
            <w:noWrap w:val="0"/>
            <w:vAlign w:val="center"/>
          </w:tcPr>
          <w:p>
            <w:pPr>
              <w:pStyle w:val="7"/>
              <w:keepNext w:val="0"/>
              <w:pageBreakBefore w:val="0"/>
              <w:wordWrap/>
              <w:overflowPunct/>
              <w:topLinePunct w:val="0"/>
              <w:autoSpaceDE/>
              <w:autoSpaceDN/>
              <w:bidi w:val="0"/>
              <w:snapToGrid/>
              <w:spacing w:line="24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13.48</w:t>
            </w:r>
          </w:p>
        </w:tc>
      </w:tr>
    </w:tbl>
    <w:p>
      <w:pPr>
        <w:pStyle w:val="7"/>
        <w:keepNext w:val="0"/>
        <w:pageBreakBefore w:val="0"/>
        <w:wordWrap/>
        <w:overflowPunct/>
        <w:topLinePunct w:val="0"/>
        <w:autoSpaceDE/>
        <w:autoSpaceDN/>
        <w:bidi w:val="0"/>
        <w:snapToGrid/>
        <w:spacing w:line="360" w:lineRule="auto"/>
        <w:ind w:left="0" w:leftChars="0" w:firstLine="0" w:firstLineChars="0"/>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 xml:space="preserve">     </w:t>
      </w:r>
    </w:p>
    <w:p>
      <w:pPr>
        <w:keepNext w:val="0"/>
        <w:pageBreakBefore w:val="0"/>
        <w:wordWrap/>
        <w:overflowPunct/>
        <w:topLinePunct w:val="0"/>
        <w:autoSpaceDE/>
        <w:autoSpaceDN/>
        <w:bidi w:val="0"/>
        <w:snapToGrid/>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2.8 质量要求:合 格。</w:t>
      </w:r>
    </w:p>
    <w:p>
      <w:pPr>
        <w:keepNext w:val="0"/>
        <w:pageBreakBefore w:val="0"/>
        <w:wordWrap/>
        <w:overflowPunct/>
        <w:topLinePunct w:val="0"/>
        <w:autoSpaceDE/>
        <w:autoSpaceDN/>
        <w:bidi w:val="0"/>
        <w:snapToGrid/>
        <w:spacing w:line="360" w:lineRule="auto"/>
        <w:rPr>
          <w:rFonts w:hint="eastAsia" w:ascii="宋体" w:hAnsi="宋体" w:eastAsia="宋体" w:cs="宋体"/>
          <w:b/>
          <w:bCs/>
          <w:sz w:val="24"/>
          <w:szCs w:val="24"/>
        </w:rPr>
      </w:pPr>
      <w:r>
        <w:rPr>
          <w:rFonts w:hint="eastAsia" w:ascii="宋体" w:hAnsi="宋体" w:eastAsia="宋体" w:cs="宋体"/>
          <w:b/>
          <w:bCs/>
          <w:sz w:val="24"/>
          <w:szCs w:val="24"/>
        </w:rPr>
        <w:t>3.投标人资格要求</w:t>
      </w:r>
    </w:p>
    <w:p>
      <w:pPr>
        <w:keepNext w:val="0"/>
        <w:pageBreakBefore w:val="0"/>
        <w:wordWrap/>
        <w:overflowPunct/>
        <w:topLinePunct w:val="0"/>
        <w:autoSpaceDE/>
        <w:autoSpaceDN/>
        <w:bidi w:val="0"/>
        <w:snapToGrid/>
        <w:spacing w:line="360" w:lineRule="auto"/>
        <w:ind w:firstLine="241" w:firstLineChars="100"/>
        <w:rPr>
          <w:rFonts w:hint="eastAsia" w:ascii="宋体" w:hAnsi="宋体" w:eastAsia="宋体" w:cs="宋体"/>
          <w:b/>
          <w:bCs/>
          <w:sz w:val="24"/>
          <w:szCs w:val="24"/>
        </w:rPr>
      </w:pPr>
      <w:r>
        <w:rPr>
          <w:rFonts w:hint="eastAsia" w:ascii="宋体" w:hAnsi="宋体" w:eastAsia="宋体" w:cs="宋体"/>
          <w:b/>
          <w:bCs/>
          <w:sz w:val="24"/>
          <w:szCs w:val="24"/>
        </w:rPr>
        <w:t>3.1施工标段：</w:t>
      </w:r>
    </w:p>
    <w:p>
      <w:pPr>
        <w:keepNext w:val="0"/>
        <w:pageBreakBefore w:val="0"/>
        <w:wordWrap/>
        <w:overflowPunct/>
        <w:topLinePunct w:val="0"/>
        <w:autoSpaceDE/>
        <w:autoSpaceDN/>
        <w:bidi w:val="0"/>
        <w:snapToGrid/>
        <w:spacing w:line="360" w:lineRule="auto"/>
        <w:ind w:firstLine="720" w:firstLineChars="300"/>
        <w:rPr>
          <w:rFonts w:hint="eastAsia" w:ascii="宋体" w:hAnsi="宋体" w:eastAsia="宋体" w:cs="宋体"/>
          <w:b/>
          <w:bCs/>
          <w:sz w:val="24"/>
          <w:szCs w:val="24"/>
        </w:rPr>
      </w:pPr>
      <w:r>
        <w:rPr>
          <w:rFonts w:hint="eastAsia" w:ascii="宋体" w:hAnsi="宋体" w:eastAsia="宋体" w:cs="宋体"/>
          <w:bCs/>
          <w:sz w:val="24"/>
          <w:szCs w:val="24"/>
        </w:rPr>
        <w:t>3.1.1</w:t>
      </w:r>
      <w:r>
        <w:rPr>
          <w:rFonts w:hint="eastAsia" w:ascii="宋体" w:hAnsi="宋体" w:eastAsia="宋体" w:cs="宋体"/>
          <w:sz w:val="24"/>
          <w:szCs w:val="24"/>
        </w:rPr>
        <w:t>投标人</w:t>
      </w:r>
      <w:r>
        <w:rPr>
          <w:rFonts w:hint="eastAsia" w:ascii="宋体" w:hAnsi="宋体" w:eastAsia="宋体" w:cs="宋体"/>
          <w:color w:val="000000"/>
          <w:sz w:val="24"/>
          <w:szCs w:val="24"/>
          <w:shd w:val="clear" w:color="auto" w:fill="FFFFFF"/>
        </w:rPr>
        <w:t>具有独立承担民事责任的能力及法人资格，提供合法有效营业执照、税务登记证、组织机构代码证（或三证合一的营业执照）</w:t>
      </w:r>
    </w:p>
    <w:p>
      <w:pPr>
        <w:keepNext w:val="0"/>
        <w:pageBreakBefore w:val="0"/>
        <w:wordWrap/>
        <w:overflowPunct/>
        <w:topLinePunct w:val="0"/>
        <w:autoSpaceDE/>
        <w:autoSpaceDN/>
        <w:bidi w:val="0"/>
        <w:snapToGrid/>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3.1.2</w:t>
      </w:r>
      <w:r>
        <w:rPr>
          <w:rFonts w:hint="eastAsia" w:ascii="宋体" w:hAnsi="宋体" w:eastAsia="宋体" w:cs="宋体"/>
          <w:sz w:val="24"/>
          <w:szCs w:val="24"/>
          <w:lang w:eastAsia="zh-CN"/>
        </w:rPr>
        <w:t>投标人</w:t>
      </w:r>
      <w:r>
        <w:rPr>
          <w:rFonts w:hint="eastAsia" w:ascii="宋体" w:hAnsi="宋体" w:eastAsia="宋体" w:cs="宋体"/>
          <w:sz w:val="24"/>
          <w:szCs w:val="24"/>
        </w:rPr>
        <w:t>须具备建设行政主管部门颁发的市政公用工程施工总承包</w:t>
      </w:r>
      <w:r>
        <w:rPr>
          <w:rFonts w:hint="eastAsia" w:ascii="宋体" w:hAnsi="宋体" w:eastAsia="宋体" w:cs="宋体"/>
          <w:sz w:val="24"/>
          <w:szCs w:val="24"/>
          <w:lang w:eastAsia="zh-CN"/>
        </w:rPr>
        <w:t>贰</w:t>
      </w:r>
      <w:r>
        <w:rPr>
          <w:rFonts w:hint="eastAsia" w:ascii="宋体" w:hAnsi="宋体" w:eastAsia="宋体" w:cs="宋体"/>
          <w:sz w:val="24"/>
          <w:szCs w:val="24"/>
        </w:rPr>
        <w:t>级及以上资质且具有有效的安全生产许可证；并在人员、设备、资金等方面具备相应的施工能力。</w:t>
      </w:r>
    </w:p>
    <w:p>
      <w:pPr>
        <w:keepNext w:val="0"/>
        <w:pageBreakBefore w:val="0"/>
        <w:wordWrap/>
        <w:overflowPunct/>
        <w:topLinePunct w:val="0"/>
        <w:autoSpaceDE/>
        <w:autoSpaceDN/>
        <w:bidi w:val="0"/>
        <w:snapToGrid/>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3.1.3投标人拟派项目经理须具备有效的市政公用工程专业贰级及以上建造师资格（不含临时），具有有效的安全生产考核合格证，且未在其他在建工程担任项目经理并出具无在建承诺书。拟派项目经理在本公司参加社会保险，具有社会保障部门出具的2019年7月以来连续三个月缴纳养老保险的证明（提供社保查询清单），如有不在本公司参保的，一经查实取消资格。</w:t>
      </w:r>
    </w:p>
    <w:p>
      <w:pPr>
        <w:keepNext w:val="0"/>
        <w:pageBreakBefore w:val="0"/>
        <w:wordWrap/>
        <w:overflowPunct/>
        <w:topLinePunct w:val="0"/>
        <w:autoSpaceDE/>
        <w:autoSpaceDN/>
        <w:bidi w:val="0"/>
        <w:snapToGrid/>
        <w:spacing w:line="360" w:lineRule="auto"/>
        <w:ind w:firstLine="710" w:firstLineChars="296"/>
        <w:rPr>
          <w:rFonts w:hint="eastAsia" w:ascii="宋体" w:hAnsi="宋体" w:eastAsia="宋体" w:cs="宋体"/>
          <w:sz w:val="24"/>
          <w:szCs w:val="24"/>
        </w:rPr>
      </w:pPr>
      <w:r>
        <w:rPr>
          <w:rFonts w:hint="eastAsia" w:ascii="宋体" w:hAnsi="宋体" w:eastAsia="宋体" w:cs="宋体"/>
          <w:bCs/>
          <w:sz w:val="24"/>
          <w:szCs w:val="24"/>
        </w:rPr>
        <w:t>3.1.5</w:t>
      </w:r>
      <w:r>
        <w:rPr>
          <w:rFonts w:hint="eastAsia" w:ascii="宋体" w:hAnsi="宋体" w:eastAsia="宋体" w:cs="宋体"/>
          <w:sz w:val="24"/>
          <w:szCs w:val="24"/>
        </w:rPr>
        <w:t>投标人需提供近三年（2016年度、2017年度、2018年度）财务审计报告（新成立企业按实际成立年限提供，成立不足一年的供资信证明）。</w:t>
      </w:r>
    </w:p>
    <w:p>
      <w:pPr>
        <w:pStyle w:val="6"/>
        <w:keepNext w:val="0"/>
        <w:pageBreakBefore w:val="0"/>
        <w:wordWrap/>
        <w:overflowPunct/>
        <w:topLinePunct w:val="0"/>
        <w:autoSpaceDE/>
        <w:autoSpaceDN/>
        <w:bidi w:val="0"/>
        <w:snapToGrid/>
        <w:spacing w:line="360" w:lineRule="auto"/>
        <w:ind w:firstLine="211"/>
        <w:rPr>
          <w:rFonts w:hint="eastAsia" w:ascii="宋体" w:hAnsi="宋体" w:eastAsia="宋体" w:cs="宋体"/>
          <w:b/>
          <w:bCs/>
          <w:sz w:val="24"/>
          <w:szCs w:val="24"/>
        </w:rPr>
      </w:pPr>
      <w:r>
        <w:rPr>
          <w:rFonts w:hint="eastAsia" w:ascii="宋体" w:hAnsi="宋体" w:eastAsia="宋体" w:cs="宋体"/>
          <w:b/>
          <w:bCs/>
          <w:sz w:val="24"/>
          <w:szCs w:val="24"/>
        </w:rPr>
        <w:t>3.2监理标段：</w:t>
      </w:r>
    </w:p>
    <w:p>
      <w:pPr>
        <w:pStyle w:val="6"/>
        <w:keepNext w:val="0"/>
        <w:pageBreakBefore w:val="0"/>
        <w:wordWrap/>
        <w:overflowPunct/>
        <w:topLinePunct w:val="0"/>
        <w:autoSpaceDE/>
        <w:autoSpaceDN/>
        <w:bidi w:val="0"/>
        <w:snapToGrid/>
        <w:spacing w:line="360" w:lineRule="auto"/>
        <w:ind w:firstLine="210"/>
        <w:rPr>
          <w:rFonts w:hint="eastAsia" w:ascii="宋体" w:hAnsi="宋体" w:eastAsia="宋体" w:cs="宋体"/>
          <w:sz w:val="24"/>
          <w:szCs w:val="24"/>
        </w:rPr>
      </w:pPr>
      <w:r>
        <w:rPr>
          <w:rFonts w:hint="eastAsia" w:ascii="宋体" w:hAnsi="宋体" w:eastAsia="宋体" w:cs="宋体"/>
          <w:sz w:val="24"/>
          <w:szCs w:val="24"/>
        </w:rPr>
        <w:t xml:space="preserve">    3.2.1投标人须具有独立承担民事责任的能力及法人资格，提供合法有效营业执照、税务登记证、组织机构代码证（或三证合一的营业执照）。 </w:t>
      </w:r>
    </w:p>
    <w:p>
      <w:pPr>
        <w:pStyle w:val="6"/>
        <w:keepNext w:val="0"/>
        <w:pageBreakBefore w:val="0"/>
        <w:wordWrap/>
        <w:overflowPunct/>
        <w:topLinePunct w:val="0"/>
        <w:autoSpaceDE/>
        <w:autoSpaceDN/>
        <w:bidi w:val="0"/>
        <w:snapToGrid/>
        <w:spacing w:line="360" w:lineRule="auto"/>
        <w:ind w:firstLine="840" w:firstLineChars="350"/>
        <w:rPr>
          <w:rFonts w:hint="eastAsia" w:ascii="宋体" w:hAnsi="宋体" w:eastAsia="宋体" w:cs="宋体"/>
          <w:sz w:val="24"/>
          <w:szCs w:val="24"/>
        </w:rPr>
      </w:pPr>
      <w:r>
        <w:rPr>
          <w:rFonts w:hint="eastAsia" w:ascii="宋体" w:hAnsi="宋体" w:eastAsia="宋体" w:cs="宋体"/>
          <w:sz w:val="24"/>
          <w:szCs w:val="24"/>
        </w:rPr>
        <w:t xml:space="preserve">3.2.2投标人须具有市政工程监理乙级及以上资质或监理综合资质。并在人员、设备、资金等方面具有相应专业监理的能力。 </w:t>
      </w:r>
    </w:p>
    <w:p>
      <w:pPr>
        <w:pStyle w:val="6"/>
        <w:keepNext w:val="0"/>
        <w:pageBreakBefore w:val="0"/>
        <w:wordWrap/>
        <w:overflowPunct/>
        <w:topLinePunct w:val="0"/>
        <w:autoSpaceDE/>
        <w:autoSpaceDN/>
        <w:bidi w:val="0"/>
        <w:snapToGrid/>
        <w:spacing w:line="360" w:lineRule="auto"/>
        <w:ind w:firstLine="840" w:firstLineChars="350"/>
        <w:rPr>
          <w:rFonts w:hint="eastAsia" w:ascii="宋体" w:hAnsi="宋体" w:eastAsia="宋体" w:cs="宋体"/>
          <w:sz w:val="24"/>
          <w:szCs w:val="24"/>
        </w:rPr>
      </w:pPr>
      <w:r>
        <w:rPr>
          <w:rFonts w:hint="eastAsia" w:ascii="宋体" w:hAnsi="宋体" w:eastAsia="宋体" w:cs="宋体"/>
          <w:sz w:val="24"/>
          <w:szCs w:val="24"/>
        </w:rPr>
        <w:t>3.2.3 投标人拟派项目总监具有市政工程专业注册监理工程师资格。</w:t>
      </w:r>
    </w:p>
    <w:p>
      <w:pPr>
        <w:pStyle w:val="6"/>
        <w:keepNext w:val="0"/>
        <w:pageBreakBefore w:val="0"/>
        <w:wordWrap/>
        <w:overflowPunct/>
        <w:topLinePunct w:val="0"/>
        <w:autoSpaceDE/>
        <w:autoSpaceDN/>
        <w:bidi w:val="0"/>
        <w:snapToGrid/>
        <w:spacing w:line="360" w:lineRule="auto"/>
        <w:ind w:firstLine="840" w:firstLineChars="350"/>
        <w:rPr>
          <w:rFonts w:hint="eastAsia" w:ascii="宋体" w:hAnsi="宋体" w:eastAsia="宋体" w:cs="宋体"/>
          <w:sz w:val="24"/>
          <w:szCs w:val="24"/>
        </w:rPr>
      </w:pPr>
      <w:r>
        <w:rPr>
          <w:rFonts w:hint="eastAsia" w:ascii="宋体" w:hAnsi="宋体" w:eastAsia="宋体" w:cs="宋体"/>
          <w:sz w:val="24"/>
          <w:szCs w:val="24"/>
        </w:rPr>
        <w:t>3.2.5投标人需提供近三年（2016年度、2017年度、2018年度）财务审计报告（新成立企业按实际成立年限提供，成立不足一年的</w:t>
      </w:r>
      <w:r>
        <w:rPr>
          <w:rFonts w:hint="eastAsia" w:ascii="宋体" w:hAnsi="宋体" w:eastAsia="宋体" w:cs="宋体"/>
          <w:sz w:val="24"/>
          <w:szCs w:val="24"/>
          <w:lang w:eastAsia="zh-CN"/>
        </w:rPr>
        <w:t>提供</w:t>
      </w:r>
      <w:r>
        <w:rPr>
          <w:rFonts w:hint="eastAsia" w:ascii="宋体" w:hAnsi="宋体" w:eastAsia="宋体" w:cs="宋体"/>
          <w:sz w:val="24"/>
          <w:szCs w:val="24"/>
        </w:rPr>
        <w:t>资信证明）。</w:t>
      </w:r>
    </w:p>
    <w:p>
      <w:pPr>
        <w:keepNext w:val="0"/>
        <w:pageBreakBefore w:val="0"/>
        <w:wordWrap/>
        <w:overflowPunct/>
        <w:topLinePunct w:val="0"/>
        <w:autoSpaceDE/>
        <w:autoSpaceDN/>
        <w:bidi w:val="0"/>
        <w:snapToGrid/>
        <w:spacing w:line="360" w:lineRule="auto"/>
        <w:ind w:firstLine="241" w:firstLineChars="100"/>
        <w:rPr>
          <w:rFonts w:hint="eastAsia" w:ascii="宋体" w:hAnsi="宋体" w:eastAsia="宋体" w:cs="宋体"/>
          <w:sz w:val="24"/>
          <w:szCs w:val="24"/>
        </w:rPr>
      </w:pPr>
      <w:r>
        <w:rPr>
          <w:rFonts w:hint="eastAsia" w:ascii="宋体" w:hAnsi="宋体" w:eastAsia="宋体" w:cs="宋体"/>
          <w:b/>
          <w:bCs/>
          <w:sz w:val="24"/>
          <w:szCs w:val="24"/>
        </w:rPr>
        <w:t>3.3</w:t>
      </w:r>
      <w:r>
        <w:rPr>
          <w:rFonts w:hint="eastAsia" w:ascii="宋体" w:hAnsi="宋体" w:eastAsia="宋体" w:cs="宋体"/>
          <w:sz w:val="24"/>
          <w:szCs w:val="24"/>
        </w:rPr>
        <w:t>投标人被“信用中国”网站列入失信失信惩戒对象的、被“中国政府采购网”网站列入政府采购严重违法失信行为记录名单（处罚期限尚未届满的），不得参与本项目的政府采购活动；投标人应通过“信用中国”网站(www.creditchina.gov.cn)查询“失信被执行人”和“重大税收违法案件当事人名单”、中国政府采购网(www.ccgp.gov.cn)查询“政府采购严重违法失信行为记录名单”渠道查询自身信用记录，并提供以上查询截图（开标时须附在投标文件中）。</w:t>
      </w:r>
    </w:p>
    <w:p>
      <w:pPr>
        <w:keepNext w:val="0"/>
        <w:pageBreakBefore w:val="0"/>
        <w:wordWrap/>
        <w:overflowPunct/>
        <w:topLinePunct w:val="0"/>
        <w:autoSpaceDE/>
        <w:autoSpaceDN/>
        <w:bidi w:val="0"/>
        <w:snapToGrid/>
        <w:spacing w:line="360" w:lineRule="auto"/>
        <w:ind w:firstLine="241" w:firstLineChars="100"/>
        <w:rPr>
          <w:rFonts w:hint="eastAsia" w:ascii="宋体" w:hAnsi="宋体" w:eastAsia="宋体" w:cs="宋体"/>
          <w:sz w:val="24"/>
          <w:szCs w:val="24"/>
        </w:rPr>
      </w:pPr>
      <w:r>
        <w:rPr>
          <w:rFonts w:hint="eastAsia" w:ascii="宋体" w:hAnsi="宋体" w:eastAsia="宋体" w:cs="宋体"/>
          <w:b/>
          <w:bCs/>
          <w:sz w:val="24"/>
          <w:szCs w:val="24"/>
        </w:rPr>
        <w:t>3.4</w:t>
      </w:r>
      <w:r>
        <w:rPr>
          <w:rFonts w:hint="eastAsia" w:ascii="宋体" w:hAnsi="宋体" w:eastAsia="宋体" w:cs="宋体"/>
          <w:sz w:val="24"/>
          <w:szCs w:val="24"/>
        </w:rPr>
        <w:t>本次招标不接受联合体投标。</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招</w:t>
      </w:r>
      <w:r>
        <w:rPr>
          <w:rFonts w:hint="eastAsia" w:ascii="宋体" w:hAnsi="宋体" w:eastAsia="宋体" w:cs="宋体"/>
          <w:b/>
          <w:bCs/>
          <w:sz w:val="24"/>
          <w:szCs w:val="24"/>
          <w:lang w:val="en-US" w:eastAsia="zh-CN"/>
        </w:rPr>
        <w:t>标文件的获取</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4.1投标人应注册成为开封市公共资源交易中心网站会员并取得 CA密钥</w:t>
      </w:r>
      <w:r>
        <w:rPr>
          <w:rFonts w:hint="eastAsia" w:ascii="宋体" w:hAnsi="宋体" w:eastAsia="宋体" w:cs="宋体"/>
          <w:color w:val="auto"/>
          <w:sz w:val="24"/>
          <w:szCs w:val="24"/>
          <w:lang w:val="en-US" w:eastAsia="zh-CN"/>
        </w:rPr>
        <w:t>，请于2020年5月12日9时00分至2020年5月18日17时00分（北京时间），在开封市</w:t>
      </w:r>
      <w:r>
        <w:rPr>
          <w:rFonts w:hint="eastAsia" w:ascii="宋体" w:hAnsi="宋体" w:eastAsia="宋体" w:cs="宋体"/>
          <w:sz w:val="24"/>
          <w:szCs w:val="24"/>
          <w:lang w:val="en-US" w:eastAsia="zh-CN"/>
        </w:rPr>
        <w:t>公共资源交易中心网站http://www.kfsggzyjyw.cn:8080/ygpt/登录政采、工程业务系统，凭CA密钥登录会员系统。投标人（供应商）系统操作手册在开封市公共资源交易中心网</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"http://www.kfsggzyjyw.cn/czgc/13525.htm"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http://www.kfsggzyjyw.cn/czgc/13525.htm</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查看(平台系统客服电话：0371-23859291)。</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4.2、投标人凭CA密钥登录会员系统，按要求下载电子招标文件。投标人未按规定下载电子招标文件的，其投标将被拒绝。</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4.4、请投标人时刻关注开封市公共资源交易中心网站和公司CA密钥推送消息。</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5. 投标文件递交</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5.1、投标人需递交电子投标文件。</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5.2、电子投标文件上传截止时间2020年6月3日9时30分。</w:t>
      </w:r>
    </w:p>
    <w:p>
      <w:pPr>
        <w:pStyle w:val="5"/>
        <w:keepNext w:val="0"/>
        <w:keepLines w:val="0"/>
        <w:pageBreakBefore w:val="0"/>
        <w:widowControl/>
        <w:numPr>
          <w:ilvl w:val="0"/>
          <w:numId w:val="0"/>
        </w:numPr>
        <w:shd w:val="clear" w:color="auto" w:fill="FFFFFF"/>
        <w:kinsoku w:val="0"/>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5.3、 电子投标文件须在投标截止时间前在开封市公共资源交易中心网站（http://www.kfsggzyjyw.cn:8080/ygpt/WebUserLoginIndex.html）会员系统中加密上传。开标地点：杞县综合服务大厦11楼开标室（地址：杞县金城大道与经四路交叉口东北角杞县便民服务中心）。</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5.4、加密电子投标文件逾期上传的，招标人不予受理。</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5.5、投标人按开标程序解密投标文件。</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5.6、本项目采用“远程不见面”开标方式,投标人无需到达现场提交原件资料、无需到杞县公共资源交易中心现场参加开标会议；投标人应当在开标时间前,登录不见面开标大厅,在线准时参加开标活动并进行投标文件解密、答疑澄清等 。（系统解密时长默认为40钟，错过解密时长者视为自动放弃本次投标）。</w:t>
      </w:r>
    </w:p>
    <w:p>
      <w:pPr>
        <w:keepNext w:val="0"/>
        <w:keepLines w:val="0"/>
        <w:pageBreakBefore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发布公告的媒介</w:t>
      </w:r>
    </w:p>
    <w:p>
      <w:pPr>
        <w:keepNext w:val="0"/>
        <w:pageBreakBefore w:val="0"/>
        <w:wordWrap/>
        <w:overflowPunct/>
        <w:topLinePunct w:val="0"/>
        <w:autoSpaceDE/>
        <w:autoSpaceDN/>
        <w:bidi w:val="0"/>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本项目的招标公告在《中国招标投标公共服务平台》、《河南省政府采购网》及《开封市公共资源交易信息网》发布</w:t>
      </w:r>
      <w:r>
        <w:rPr>
          <w:rFonts w:hint="eastAsia" w:ascii="宋体" w:hAnsi="宋体" w:eastAsia="宋体" w:cs="宋体"/>
          <w:sz w:val="24"/>
          <w:szCs w:val="24"/>
        </w:rPr>
        <w:t>。</w:t>
      </w:r>
    </w:p>
    <w:p>
      <w:pPr>
        <w:keepNext w:val="0"/>
        <w:pageBreakBefore w:val="0"/>
        <w:numPr>
          <w:ilvl w:val="0"/>
          <w:numId w:val="1"/>
        </w:numPr>
        <w:wordWrap/>
        <w:overflowPunct/>
        <w:topLinePunct w:val="0"/>
        <w:autoSpaceDE/>
        <w:autoSpaceDN/>
        <w:bidi w:val="0"/>
        <w:snapToGrid/>
        <w:spacing w:line="360" w:lineRule="auto"/>
        <w:rPr>
          <w:rFonts w:hint="eastAsia" w:ascii="宋体" w:hAnsi="宋体" w:eastAsia="宋体" w:cs="宋体"/>
          <w:b/>
          <w:bCs/>
          <w:sz w:val="24"/>
          <w:szCs w:val="24"/>
        </w:rPr>
      </w:pPr>
      <w:r>
        <w:rPr>
          <w:rFonts w:hint="eastAsia" w:ascii="宋体" w:hAnsi="宋体" w:eastAsia="宋体" w:cs="宋体"/>
          <w:b/>
          <w:bCs/>
          <w:sz w:val="24"/>
          <w:szCs w:val="24"/>
        </w:rPr>
        <w:t>联系方式</w:t>
      </w:r>
    </w:p>
    <w:p>
      <w:pPr>
        <w:keepNext w:val="0"/>
        <w:pageBreakBefore w:val="0"/>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招 标 人：</w:t>
      </w:r>
      <w:r>
        <w:rPr>
          <w:rFonts w:hint="eastAsia" w:ascii="宋体" w:hAnsi="宋体" w:eastAsia="宋体" w:cs="宋体"/>
          <w:color w:val="auto"/>
          <w:sz w:val="24"/>
          <w:szCs w:val="24"/>
          <w:lang w:eastAsia="zh-CN"/>
        </w:rPr>
        <w:t>杞县乡村振兴开发建设有限公司</w:t>
      </w:r>
      <w:r>
        <w:rPr>
          <w:rFonts w:hint="eastAsia" w:ascii="宋体" w:hAnsi="宋体" w:eastAsia="宋体" w:cs="宋体"/>
          <w:color w:val="auto"/>
          <w:sz w:val="24"/>
          <w:szCs w:val="24"/>
        </w:rPr>
        <w:t xml:space="preserve"> </w:t>
      </w:r>
    </w:p>
    <w:p>
      <w:pPr>
        <w:keepNext w:val="0"/>
        <w:pageBreakBefore w:val="0"/>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联 系 人：王</w:t>
      </w:r>
      <w:r>
        <w:rPr>
          <w:rFonts w:hint="eastAsia" w:ascii="宋体" w:hAnsi="宋体" w:eastAsia="宋体" w:cs="宋体"/>
          <w:color w:val="auto"/>
          <w:sz w:val="24"/>
          <w:szCs w:val="24"/>
          <w:lang w:eastAsia="zh-CN"/>
        </w:rPr>
        <w:t>先生</w:t>
      </w:r>
      <w:r>
        <w:rPr>
          <w:rFonts w:hint="eastAsia" w:ascii="宋体" w:hAnsi="宋体" w:eastAsia="宋体" w:cs="宋体"/>
          <w:color w:val="auto"/>
          <w:sz w:val="24"/>
          <w:szCs w:val="24"/>
        </w:rPr>
        <w:t xml:space="preserve"> </w:t>
      </w:r>
    </w:p>
    <w:p>
      <w:pPr>
        <w:keepNext w:val="0"/>
        <w:pageBreakBefore w:val="0"/>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联系电话：13937843606</w:t>
      </w:r>
    </w:p>
    <w:p>
      <w:pPr>
        <w:keepNext w:val="0"/>
        <w:pageBreakBefore w:val="0"/>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lang w:eastAsia="zh-CN"/>
        </w:rPr>
        <w:t>杞县建设路路北中段</w:t>
      </w:r>
    </w:p>
    <w:p>
      <w:pPr>
        <w:keepNext w:val="0"/>
        <w:pageBreakBefore w:val="0"/>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招标代理：</w:t>
      </w:r>
      <w:r>
        <w:rPr>
          <w:rFonts w:hint="eastAsia" w:ascii="宋体" w:hAnsi="宋体" w:eastAsia="宋体" w:cs="宋体"/>
          <w:color w:val="auto"/>
          <w:sz w:val="24"/>
          <w:szCs w:val="24"/>
          <w:lang w:eastAsia="zh-CN"/>
        </w:rPr>
        <w:t>河南众成工程管理有限公司</w:t>
      </w:r>
    </w:p>
    <w:p>
      <w:pPr>
        <w:keepNext w:val="0"/>
        <w:pageBreakBefore w:val="0"/>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 系 人：张</w:t>
      </w:r>
      <w:r>
        <w:rPr>
          <w:rFonts w:hint="eastAsia" w:ascii="宋体" w:hAnsi="宋体" w:eastAsia="宋体" w:cs="宋体"/>
          <w:color w:val="auto"/>
          <w:sz w:val="24"/>
          <w:szCs w:val="24"/>
          <w:lang w:eastAsia="zh-CN"/>
        </w:rPr>
        <w:t>先生</w:t>
      </w:r>
    </w:p>
    <w:p>
      <w:pPr>
        <w:keepNext w:val="0"/>
        <w:pageBreakBefore w:val="0"/>
        <w:widowControl/>
        <w:shd w:val="clear" w:color="auto" w:fill="FFFFFF"/>
        <w:wordWrap/>
        <w:overflowPunct/>
        <w:topLinePunct w:val="0"/>
        <w:autoSpaceDE/>
        <w:autoSpaceDN/>
        <w:bidi w:val="0"/>
        <w:snapToGrid/>
        <w:spacing w:line="360" w:lineRule="auto"/>
        <w:ind w:firstLine="480" w:firstLineChars="200"/>
        <w:jc w:val="left"/>
        <w:rPr>
          <w:rFonts w:hint="eastAsia" w:ascii="宋体" w:hAnsi="宋体" w:eastAsia="宋体" w:cs="宋体"/>
          <w:color w:val="auto"/>
          <w:kern w:val="0"/>
          <w:sz w:val="24"/>
          <w:szCs w:val="24"/>
          <w:shd w:val="clear" w:color="auto" w:fill="FFFFFF"/>
          <w:lang w:bidi="ar"/>
        </w:rPr>
      </w:pPr>
      <w:r>
        <w:rPr>
          <w:rFonts w:hint="eastAsia" w:ascii="宋体" w:hAnsi="宋体" w:eastAsia="宋体" w:cs="宋体"/>
          <w:color w:val="auto"/>
          <w:kern w:val="0"/>
          <w:sz w:val="24"/>
          <w:szCs w:val="24"/>
          <w:shd w:val="clear" w:color="auto" w:fill="FFFFFF"/>
          <w:lang w:bidi="ar"/>
        </w:rPr>
        <w:t xml:space="preserve">联系电话：13598443613  </w:t>
      </w:r>
    </w:p>
    <w:p>
      <w:pPr>
        <w:keepNext w:val="0"/>
        <w:pageBreakBefore w:val="0"/>
        <w:widowControl/>
        <w:shd w:val="clear" w:color="auto" w:fill="FFFFFF"/>
        <w:wordWrap/>
        <w:overflowPunct/>
        <w:topLinePunct w:val="0"/>
        <w:autoSpaceDE/>
        <w:autoSpaceDN/>
        <w:bidi w:val="0"/>
        <w:snapToGrid/>
        <w:spacing w:line="360" w:lineRule="auto"/>
        <w:ind w:firstLine="480" w:firstLineChars="200"/>
        <w:jc w:val="left"/>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bidi="ar"/>
        </w:rPr>
        <w:t>地    址：</w:t>
      </w:r>
      <w:r>
        <w:rPr>
          <w:rFonts w:hint="eastAsia" w:ascii="宋体" w:hAnsi="宋体" w:eastAsia="宋体" w:cs="宋体"/>
          <w:color w:val="auto"/>
          <w:kern w:val="0"/>
          <w:sz w:val="24"/>
          <w:szCs w:val="24"/>
          <w:shd w:val="clear" w:color="auto" w:fill="FFFFFF"/>
          <w:lang w:eastAsia="zh-CN" w:bidi="ar"/>
        </w:rPr>
        <w:t>郑州市金水区青年路与玉凤路交叉口</w:t>
      </w:r>
      <w:r>
        <w:rPr>
          <w:rFonts w:hint="eastAsia" w:ascii="宋体" w:hAnsi="宋体" w:eastAsia="宋体" w:cs="宋体"/>
          <w:color w:val="auto"/>
          <w:kern w:val="0"/>
          <w:sz w:val="24"/>
          <w:szCs w:val="24"/>
          <w:shd w:val="clear" w:color="auto" w:fill="FFFFFF"/>
          <w:lang w:val="en-US" w:eastAsia="zh-CN" w:bidi="ar"/>
        </w:rPr>
        <w:t>145号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66E4DA"/>
    <w:multiLevelType w:val="singleLevel"/>
    <w:tmpl w:val="DB66E4DA"/>
    <w:lvl w:ilvl="0" w:tentative="0">
      <w:start w:val="6"/>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6A08D5"/>
    <w:rsid w:val="506A0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adjustRightInd w:val="0"/>
      <w:spacing w:after="120" w:afterLines="0" w:line="312" w:lineRule="atLeast"/>
      <w:textAlignment w:val="baseline"/>
    </w:pPr>
    <w:rPr>
      <w:sz w:val="21"/>
    </w:rPr>
  </w:style>
  <w:style w:type="paragraph" w:styleId="3">
    <w:name w:val="Body Text 2"/>
    <w:basedOn w:val="1"/>
    <w:qFormat/>
    <w:uiPriority w:val="0"/>
    <w:pPr>
      <w:spacing w:line="900" w:lineRule="exact"/>
      <w:jc w:val="center"/>
    </w:pPr>
    <w:rPr>
      <w:rFonts w:eastAsia="楷体_GB2312"/>
      <w:b/>
      <w:sz w:val="36"/>
    </w:rPr>
  </w:style>
  <w:style w:type="paragraph" w:styleId="4">
    <w:name w:val="Body Text Indent"/>
    <w:basedOn w:val="1"/>
    <w:unhideWhenUsed/>
    <w:qFormat/>
    <w:uiPriority w:val="99"/>
    <w:pPr>
      <w:spacing w:after="120"/>
      <w:ind w:left="420" w:leftChars="200"/>
    </w:pPr>
    <w:rPr>
      <w:rFonts w:ascii="Calibri" w:hAnsi="Calibri" w:eastAsia="宋体" w:cs="Times New Roman"/>
    </w:rPr>
  </w:style>
  <w:style w:type="paragraph" w:styleId="5">
    <w:name w:val="Normal (Web)"/>
    <w:basedOn w:val="1"/>
    <w:next w:val="1"/>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w:basedOn w:val="2"/>
    <w:next w:val="7"/>
    <w:qFormat/>
    <w:uiPriority w:val="0"/>
    <w:pPr>
      <w:ind w:firstLine="420" w:firstLineChars="100"/>
    </w:pPr>
  </w:style>
  <w:style w:type="paragraph" w:styleId="7">
    <w:name w:val="Body Text First Indent 2"/>
    <w:basedOn w:val="4"/>
    <w:unhideWhenUsed/>
    <w:qFormat/>
    <w:uiPriority w:val="99"/>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2020-05-11T07:27:00Z</dcterms:created>
  <dc:creator>投手 橘子</dc:creator>
  <cp:lastModifiedBy>投手 橘子</cp:lastModifiedBy>
  <dcterms:modified xsi:type="dcterms:W3CDTF">2020-05-11T07:27:57Z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