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2F5" w:rsidRDefault="00BE7819" w:rsidP="00BE7819">
      <w:pPr>
        <w:jc w:val="center"/>
        <w:rPr>
          <w:rFonts w:ascii="宋体" w:eastAsia="宋体" w:hAnsi="宋体"/>
          <w:sz w:val="44"/>
          <w:szCs w:val="44"/>
        </w:rPr>
      </w:pPr>
      <w:r w:rsidRPr="00BE7819">
        <w:rPr>
          <w:rFonts w:ascii="宋体" w:eastAsia="宋体" w:hAnsi="宋体" w:hint="eastAsia"/>
          <w:sz w:val="44"/>
          <w:szCs w:val="44"/>
        </w:rPr>
        <w:t>尉氏交叉口标线工程量清单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709"/>
        <w:gridCol w:w="426"/>
        <w:gridCol w:w="709"/>
        <w:gridCol w:w="993"/>
        <w:gridCol w:w="4751"/>
      </w:tblGrid>
      <w:tr w:rsidR="002211F2" w:rsidRPr="00A96C2D" w:rsidTr="002211F2">
        <w:trPr>
          <w:trHeight w:val="702"/>
          <w:tblHeader/>
        </w:trPr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96C2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96C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96C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96C2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5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A96C2D">
              <w:rPr>
                <w:rFonts w:ascii="宋体" w:eastAsia="宋体" w:hAnsi="宋体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286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A96C2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技术要求</w:t>
            </w:r>
          </w:p>
        </w:tc>
      </w:tr>
      <w:tr w:rsidR="002211F2" w:rsidRPr="00A96C2D" w:rsidTr="002211F2">
        <w:trPr>
          <w:trHeight w:val="5514"/>
        </w:trPr>
        <w:tc>
          <w:tcPr>
            <w:tcW w:w="421" w:type="pct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标线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热熔反光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6106.09 </w:t>
            </w:r>
          </w:p>
        </w:tc>
        <w:tc>
          <w:tcPr>
            <w:tcW w:w="286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（1）设置标线的路面表面应清洁干燥，无松散颗粒、灰尘、沥青、油污或其他有害物质。（2）在水泥路面或旧的沥青路面施加标线需要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先完全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清除老旧标线，后使用机械吹扫路面并喷涂热熔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底油下涂剂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下涂剂每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平方米控制在150～200g，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按试验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决定的间隔时间喷涂热熔涂料，以提高其粘结力。（3）热熔涂料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在斧内加热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时，温度应控制在涂料生产商的使用说明书规定值180℃～230℃之间，不得超过最高限制温度。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烃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树脂材料，保持在熔融状态的时间不大于6h；树胶树脂类材料，保持在熔融状态的实际不大于4h。（4）涂料喷涂与路面时的温度，应符合涂料生产商提供的使用说明书的要求。（5）撒播在标线上的玻璃微珠其性能和粒径分布应符合《路面标线用玻璃珠》（GBT 24722）的要求，玻璃珠的撒播应经试验方可实施。撒播</w:t>
            </w:r>
            <w:proofErr w:type="gramStart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玻璃珠应在</w:t>
            </w:r>
            <w:proofErr w:type="gramEnd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涂料喷涂后立即进行，分布应均匀，含量以0.3kg/m²的用量加压撒播在所有标线上。白色反光标线的逆反射系数应不小于150mcd·m-2·lx-1，黄色反光标线的逆反射系数应不小于100mcd·m-2·lx-1。（6）标线使用的涂料应具有与路面粘结力强、干燥迅速以及良好的耐磨性、耐候性、抗滑性等特性，并应符合《路面标线涂料》（JT/T280-2004）要求。（7）标线的颜色为白色、黄色、蓝色、橙色等，应符合《路面标线涂料》（JT/T280-2004）要求。（8）标线宽度、虚线长及间隔、点线长及间隔、双标线的间隔，应按照《道路交通标志标线》（GB 5768.3-2009）规定漆划。（9）特殊标线的图案、标记，如箭头及字母等尺寸应按图纸要求和《道路交通标志标线》（GB 5768.3-2009）规定漆划。（10）所有标线应具有线条顺直、宽度一致、间隔相等、边缘整齐、线形规则、衔接良好、厚度均匀、光洁及精美外观；干燥后，应无气泡、开裂、发粘、脱落现象，否则，应由承包人予以更正，其费用由承包人自理。（11）有缺陷的、施工不当、尺寸不正确或位置错误的标线均应清除，路面应修补，材料应更换，其费用有承包人自理。（12）喷涂施工应避开交通高峰时段进行，雨天、尘埃大、风大、温度低于10℃时应暂时停止施工。（13）喷涂标线时，应有交通安全措施，设置警告标志，阻止车辆及行人在作业区内通行，防止将涂</w:t>
            </w:r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料带出或形成车辙，直至标线成分干燥。（14）热熔型标线的使用寿命质量要求：沥青路面标线厚度1.8mm以上，沥青路面24个月内标线内要无脱落、无变色等现象发生，36个月内完好率保持80%以上。（15）</w:t>
            </w:r>
            <w:bookmarkStart w:id="0" w:name="_GoBack"/>
            <w:bookmarkEnd w:id="0"/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热熔凸起：密度1.8~2.3，软化点≥100℃，抗压强度，23℃±1℃时，≥12；50℃±2℃时，≥2</w:t>
            </w:r>
          </w:p>
        </w:tc>
      </w:tr>
      <w:tr w:rsidR="002211F2" w:rsidRPr="00A96C2D" w:rsidTr="002211F2">
        <w:trPr>
          <w:trHeight w:val="6169"/>
        </w:trPr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6C2D" w:rsidRPr="00A96C2D" w:rsidRDefault="00A96C2D" w:rsidP="00A96C2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C2D" w:rsidRPr="00A96C2D" w:rsidRDefault="00A96C2D" w:rsidP="00A96C2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热熔凸起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216.00 </w:t>
            </w:r>
          </w:p>
        </w:tc>
        <w:tc>
          <w:tcPr>
            <w:tcW w:w="28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A96C2D" w:rsidRPr="00A96C2D" w:rsidRDefault="00A96C2D" w:rsidP="00A96C2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2211F2" w:rsidRPr="00A96C2D" w:rsidTr="002211F2">
        <w:trPr>
          <w:trHeight w:val="3750"/>
        </w:trPr>
        <w:tc>
          <w:tcPr>
            <w:tcW w:w="421" w:type="pct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6C2D" w:rsidRPr="00A96C2D" w:rsidRDefault="00A96C2D" w:rsidP="00A96C2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6C2D" w:rsidRPr="00A96C2D" w:rsidRDefault="00A96C2D" w:rsidP="00A96C2D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彩色立体标线</w:t>
            </w: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m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558.60 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96C2D" w:rsidRPr="00A96C2D" w:rsidRDefault="00A96C2D" w:rsidP="00A96C2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彩色立体标线颜色选用蓝、白、黄三种颜色，彩色防滑骨料和环保型高强度的粘合材料，莫氏硬度≥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，彩色防滑骨料粒径≤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4mm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，摊铺厚度为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4mm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；干燥成型后，颜色、骨料颗粒分布均匀，无裂纹、骨料颗粒脱落等现象；在水中</w:t>
            </w:r>
            <w:proofErr w:type="gramStart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浸</w:t>
            </w:r>
            <w:proofErr w:type="gramEnd"/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24h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无异常现象；在氢氧化钙饱和溶液中浸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24h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无异常现象；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-10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℃保持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4h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，室温放置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4h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为一个循环，连续做三个循环后无裂纹；抗滑性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BPN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值：普通防滑型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:45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≤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BPN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＜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、中防滑型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:55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≤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BPN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＜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、</w:t>
            </w:r>
            <w:proofErr w:type="gramStart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高防滑型</w:t>
            </w:r>
            <w:proofErr w:type="gramEnd"/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:BPN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≥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；人工加速老化试验后，</w:t>
            </w:r>
            <w:proofErr w:type="gramStart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试板涂层</w:t>
            </w:r>
            <w:proofErr w:type="gramEnd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不产生龟裂、剥落；允许轻微粉化和变色。施工要求：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(1)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基底处治：对原路面或新建基底表面统一进行修补后，采用喷砂工艺进行全面处理，使基底表面粗糙洁净，对局部喷砂后暴露出的损坏情况进行修补。（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）粘贴</w:t>
            </w:r>
            <w:proofErr w:type="gramStart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贴</w:t>
            </w:r>
            <w:proofErr w:type="gramEnd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胶纸与搅拌涂料：地面清洁干净后，根据施工要求进行弹线，按照弹线标准粘贴胶纸；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(3)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将树脂材料搅拌均匀后，均匀涂抹于道路表面，待树脂材料适度</w:t>
            </w:r>
            <w:proofErr w:type="gramStart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自流平</w:t>
            </w:r>
            <w:proofErr w:type="gramEnd"/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后，即撒布彩色防滑骨料。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(4)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养生</w:t>
            </w:r>
            <w:r w:rsidRPr="00A96C2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3~5</w:t>
            </w:r>
            <w:r w:rsidRPr="00A96C2D"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0"/>
              </w:rPr>
              <w:t>小时后，待树脂材料固化后回收表面浮粒，开放交通。</w:t>
            </w:r>
          </w:p>
        </w:tc>
      </w:tr>
    </w:tbl>
    <w:p w:rsidR="00BE7819" w:rsidRPr="00A96C2D" w:rsidRDefault="00BE7819" w:rsidP="00A96C2D">
      <w:pPr>
        <w:rPr>
          <w:rFonts w:ascii="宋体" w:eastAsia="宋体" w:hAnsi="宋体"/>
          <w:sz w:val="44"/>
          <w:szCs w:val="44"/>
        </w:rPr>
      </w:pPr>
    </w:p>
    <w:sectPr w:rsidR="00BE7819" w:rsidRPr="00A96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88"/>
    <w:rsid w:val="002211F2"/>
    <w:rsid w:val="009E1B88"/>
    <w:rsid w:val="00A96C2D"/>
    <w:rsid w:val="00BE7819"/>
    <w:rsid w:val="00E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BB4B4-D424-4A03-B510-6A49A557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532648130@qq.com</dc:creator>
  <cp:keywords/>
  <dc:description/>
  <cp:lastModifiedBy>532648130@qq.com</cp:lastModifiedBy>
  <cp:revision>4</cp:revision>
  <dcterms:created xsi:type="dcterms:W3CDTF">2019-04-14T07:26:00Z</dcterms:created>
  <dcterms:modified xsi:type="dcterms:W3CDTF">2019-04-15T00:58:00Z</dcterms:modified>
</cp:coreProperties>
</file>