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44"/>
          <w:szCs w:val="44"/>
        </w:rPr>
      </w:pPr>
      <w:r>
        <w:rPr>
          <w:rFonts w:hint="eastAsia" w:ascii="宋体" w:hAnsi="宋体"/>
          <w:bCs/>
          <w:sz w:val="44"/>
          <w:szCs w:val="44"/>
        </w:rPr>
        <w:t xml:space="preserve">开封市祥符区县府西街绿化改造工程 </w:t>
      </w:r>
    </w:p>
    <w:p>
      <w:pPr>
        <w:widowControl/>
        <w:shd w:val="clear" w:color="auto" w:fill="FFFFFF"/>
        <w:spacing w:line="540" w:lineRule="atLeast"/>
        <w:jc w:val="center"/>
        <w:rPr>
          <w:rFonts w:ascii="宋体" w:hAnsi="宋体"/>
          <w:szCs w:val="21"/>
        </w:rPr>
      </w:pPr>
      <w:r>
        <w:rPr>
          <w:rFonts w:hint="eastAsia" w:ascii="宋体" w:hAnsi="宋体" w:cs="宋体"/>
          <w:b/>
          <w:bCs/>
          <w:color w:val="333333"/>
          <w:kern w:val="0"/>
          <w:sz w:val="44"/>
          <w:szCs w:val="44"/>
        </w:rPr>
        <w:t>变更公告</w:t>
      </w:r>
    </w:p>
    <w:p>
      <w:pPr>
        <w:widowControl/>
        <w:shd w:val="clear" w:color="auto" w:fill="FFFFFF"/>
        <w:spacing w:line="540" w:lineRule="atLeast"/>
        <w:ind w:firstLine="120"/>
        <w:jc w:val="left"/>
        <w:rPr>
          <w:rFonts w:ascii="宋体" w:hAnsi="宋体" w:cs="宋体"/>
          <w:color w:val="333333"/>
          <w:kern w:val="0"/>
          <w:sz w:val="24"/>
        </w:rPr>
      </w:pPr>
      <w:r>
        <w:rPr>
          <w:rFonts w:hint="eastAsia" w:ascii="宋体" w:hAnsi="宋体" w:cs="宋体"/>
          <w:color w:val="333333"/>
          <w:kern w:val="0"/>
          <w:sz w:val="24"/>
        </w:rPr>
        <w:t>一、项目概况</w:t>
      </w:r>
    </w:p>
    <w:p>
      <w:pPr>
        <w:widowControl/>
        <w:shd w:val="clear" w:color="auto" w:fill="FFFFFF"/>
        <w:spacing w:line="360" w:lineRule="auto"/>
        <w:ind w:left="420"/>
        <w:jc w:val="left"/>
        <w:rPr>
          <w:rFonts w:ascii="宋体" w:hAnsi="宋体" w:cs="宋体"/>
          <w:bCs/>
          <w:color w:val="333333"/>
          <w:kern w:val="0"/>
          <w:sz w:val="24"/>
        </w:rPr>
      </w:pPr>
      <w:r>
        <w:rPr>
          <w:rFonts w:hint="eastAsia" w:ascii="宋体" w:hAnsi="宋体" w:cs="宋体"/>
          <w:color w:val="333333"/>
          <w:kern w:val="0"/>
          <w:sz w:val="24"/>
        </w:rPr>
        <w:t>1、项目名称：</w:t>
      </w:r>
      <w:r>
        <w:rPr>
          <w:rFonts w:hint="eastAsia" w:ascii="宋体" w:hAnsi="宋体" w:cs="宋体"/>
          <w:bCs/>
          <w:color w:val="333333"/>
          <w:kern w:val="0"/>
          <w:sz w:val="24"/>
        </w:rPr>
        <w:t xml:space="preserve">开封市祥符区县府西街绿化改造工程 </w:t>
      </w:r>
    </w:p>
    <w:p>
      <w:pPr>
        <w:widowControl/>
        <w:shd w:val="clear" w:color="auto" w:fill="FFFFFF"/>
        <w:spacing w:line="360" w:lineRule="auto"/>
        <w:ind w:left="420"/>
        <w:jc w:val="left"/>
        <w:rPr>
          <w:rFonts w:ascii="宋体" w:hAnsi="宋体" w:cs="宋体"/>
          <w:color w:val="333333"/>
          <w:kern w:val="0"/>
          <w:sz w:val="24"/>
        </w:rPr>
      </w:pPr>
      <w:r>
        <w:rPr>
          <w:rFonts w:hint="eastAsia" w:ascii="宋体" w:hAnsi="宋体" w:cs="宋体"/>
          <w:color w:val="333333"/>
          <w:kern w:val="0"/>
          <w:sz w:val="24"/>
        </w:rPr>
        <w:t>2、招标编号：</w:t>
      </w:r>
      <w:r>
        <w:rPr>
          <w:rFonts w:ascii="宋体" w:hAnsi="宋体" w:cs="宋体"/>
          <w:color w:val="333333"/>
          <w:kern w:val="0"/>
          <w:sz w:val="24"/>
        </w:rPr>
        <w:t>XFGK-2019-02-1</w:t>
      </w:r>
    </w:p>
    <w:p>
      <w:pPr>
        <w:widowControl/>
        <w:shd w:val="clear" w:color="auto" w:fill="FFFFFF"/>
        <w:spacing w:line="360" w:lineRule="auto"/>
        <w:ind w:left="420"/>
        <w:jc w:val="left"/>
        <w:rPr>
          <w:rFonts w:ascii="宋体" w:hAnsi="宋体" w:cs="宋体"/>
          <w:color w:val="333333"/>
          <w:kern w:val="0"/>
          <w:sz w:val="24"/>
        </w:rPr>
      </w:pPr>
      <w:r>
        <w:rPr>
          <w:rFonts w:hint="eastAsia" w:ascii="宋体" w:hAnsi="宋体" w:cs="宋体"/>
          <w:color w:val="333333"/>
          <w:kern w:val="0"/>
          <w:sz w:val="24"/>
        </w:rPr>
        <w:t>3、</w:t>
      </w:r>
      <w:r>
        <w:rPr>
          <w:rFonts w:ascii="宋体" w:hAnsi="宋体" w:cs="宋体"/>
          <w:color w:val="333333"/>
          <w:kern w:val="0"/>
          <w:sz w:val="24"/>
        </w:rPr>
        <w:t>建设地点：开封市祥符区</w:t>
      </w:r>
    </w:p>
    <w:p>
      <w:pPr>
        <w:widowControl/>
        <w:shd w:val="clear" w:color="auto" w:fill="FFFFFF"/>
        <w:spacing w:line="360" w:lineRule="auto"/>
        <w:ind w:left="420"/>
        <w:jc w:val="left"/>
        <w:rPr>
          <w:rFonts w:ascii="宋体" w:hAnsi="宋体" w:cs="宋体"/>
          <w:color w:val="333333"/>
          <w:kern w:val="0"/>
          <w:sz w:val="24"/>
        </w:rPr>
      </w:pPr>
      <w:r>
        <w:rPr>
          <w:rFonts w:ascii="宋体" w:hAnsi="宋体" w:cs="宋体"/>
          <w:color w:val="333333"/>
          <w:kern w:val="0"/>
          <w:sz w:val="24"/>
        </w:rPr>
        <w:t>4</w:t>
      </w:r>
      <w:r>
        <w:rPr>
          <w:rFonts w:hint="eastAsia" w:ascii="宋体" w:hAnsi="宋体" w:cs="宋体"/>
          <w:color w:val="333333"/>
          <w:kern w:val="0"/>
          <w:sz w:val="24"/>
        </w:rPr>
        <w:t>、</w:t>
      </w:r>
      <w:r>
        <w:rPr>
          <w:rFonts w:ascii="宋体" w:hAnsi="宋体" w:cs="宋体"/>
          <w:color w:val="333333"/>
          <w:kern w:val="0"/>
          <w:sz w:val="24"/>
        </w:rPr>
        <w:t>项目估算价：约544万元</w:t>
      </w:r>
    </w:p>
    <w:p>
      <w:pPr>
        <w:pageBreakBefore w:val="0"/>
        <w:widowControl/>
        <w:shd w:val="clear" w:color="auto" w:fill="FFFFFF"/>
        <w:kinsoku/>
        <w:wordWrap/>
        <w:overflowPunct/>
        <w:topLinePunct w:val="0"/>
        <w:autoSpaceDE/>
        <w:autoSpaceDN/>
        <w:bidi w:val="0"/>
        <w:adjustRightInd/>
        <w:snapToGrid/>
        <w:spacing w:line="420" w:lineRule="exact"/>
        <w:textAlignment w:val="auto"/>
        <w:rPr>
          <w:rFonts w:ascii="宋体" w:hAnsi="宋体" w:cs="宋体"/>
          <w:color w:val="333333"/>
          <w:kern w:val="0"/>
          <w:sz w:val="24"/>
        </w:rPr>
      </w:pPr>
      <w:r>
        <w:rPr>
          <w:rFonts w:hint="eastAsia" w:ascii="宋体" w:hAnsi="宋体" w:cs="宋体"/>
          <w:color w:val="333333"/>
          <w:kern w:val="0"/>
          <w:sz w:val="24"/>
        </w:rPr>
        <w:t>二、公告发布媒体</w:t>
      </w:r>
    </w:p>
    <w:p>
      <w:pPr>
        <w:pageBreakBefore w:val="0"/>
        <w:widowControl/>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color w:val="333333"/>
          <w:kern w:val="0"/>
          <w:sz w:val="24"/>
        </w:rPr>
      </w:pPr>
      <w:r>
        <w:rPr>
          <w:rFonts w:ascii="宋体" w:hAnsi="宋体" w:cs="宋体"/>
          <w:color w:val="333333"/>
          <w:kern w:val="0"/>
          <w:sz w:val="24"/>
        </w:rPr>
        <w:t>《中国采购与招标网》、《河南省政府采购网》、《河南招标采购综合网》、《开封市公共资源交易中心网》</w:t>
      </w:r>
    </w:p>
    <w:p>
      <w:pPr>
        <w:pageBreakBefore w:val="0"/>
        <w:widowControl/>
        <w:shd w:val="clear" w:color="auto" w:fill="FFFFFF"/>
        <w:kinsoku/>
        <w:wordWrap/>
        <w:overflowPunct/>
        <w:topLinePunct w:val="0"/>
        <w:autoSpaceDE/>
        <w:autoSpaceDN/>
        <w:bidi w:val="0"/>
        <w:adjustRightInd/>
        <w:snapToGrid/>
        <w:spacing w:line="420" w:lineRule="exact"/>
        <w:jc w:val="left"/>
        <w:textAlignment w:val="auto"/>
        <w:rPr>
          <w:rFonts w:ascii="宋体" w:hAnsi="宋体" w:cs="宋体"/>
          <w:color w:val="333333"/>
          <w:kern w:val="0"/>
          <w:sz w:val="24"/>
        </w:rPr>
      </w:pPr>
      <w:r>
        <w:rPr>
          <w:rFonts w:hint="eastAsia" w:ascii="宋体" w:hAnsi="宋体" w:cs="宋体"/>
          <w:color w:val="333333"/>
          <w:kern w:val="0"/>
          <w:sz w:val="24"/>
        </w:rPr>
        <w:t>三、变更内容</w:t>
      </w:r>
    </w:p>
    <w:p>
      <w:pPr>
        <w:keepNext/>
        <w:keepLines/>
        <w:pageBreakBefore w:val="0"/>
        <w:kinsoku/>
        <w:wordWrap/>
        <w:overflowPunct/>
        <w:topLinePunct w:val="0"/>
        <w:autoSpaceDE/>
        <w:autoSpaceDN/>
        <w:bidi w:val="0"/>
        <w:adjustRightInd/>
        <w:snapToGrid/>
        <w:spacing w:before="260" w:after="260" w:line="420" w:lineRule="exact"/>
        <w:ind w:firstLine="480"/>
        <w:jc w:val="both"/>
        <w:textAlignment w:val="auto"/>
        <w:rPr>
          <w:rFonts w:hint="eastAsia" w:ascii="宋体" w:hAnsi="宋体" w:cs="宋体"/>
          <w:color w:val="333333"/>
          <w:kern w:val="0"/>
          <w:sz w:val="24"/>
        </w:rPr>
      </w:pPr>
      <w:r>
        <w:rPr>
          <w:rFonts w:hint="eastAsia" w:ascii="宋体" w:hAnsi="宋体" w:cs="宋体"/>
          <w:color w:val="333333"/>
          <w:kern w:val="0"/>
          <w:sz w:val="24"/>
          <w:lang w:eastAsia="zh-CN"/>
        </w:rPr>
        <w:t>施工</w:t>
      </w:r>
      <w:r>
        <w:rPr>
          <w:rFonts w:hint="eastAsia" w:ascii="宋体" w:hAnsi="宋体" w:cs="宋体"/>
          <w:color w:val="333333"/>
          <w:kern w:val="0"/>
          <w:sz w:val="24"/>
        </w:rPr>
        <w:t>招标文件</w:t>
      </w:r>
      <w:bookmarkStart w:id="0" w:name="_Toc68"/>
      <w:r>
        <w:rPr>
          <w:rFonts w:hint="eastAsia" w:ascii="宋体" w:hAnsi="宋体" w:cs="宋体"/>
          <w:color w:val="333333"/>
          <w:kern w:val="0"/>
          <w:sz w:val="24"/>
          <w:lang w:eastAsia="zh-CN"/>
        </w:rPr>
        <w:t>中</w:t>
      </w:r>
      <w:r>
        <w:rPr>
          <w:rFonts w:hint="eastAsia" w:ascii="宋体" w:hAnsi="宋体" w:cs="宋体"/>
          <w:color w:val="333333"/>
          <w:kern w:val="0"/>
          <w:sz w:val="24"/>
        </w:rPr>
        <w:t>第三章 评标办法</w:t>
      </w:r>
      <w:bookmarkEnd w:id="0"/>
      <w:bookmarkStart w:id="1" w:name="_Toc14471"/>
      <w:bookmarkStart w:id="2" w:name="_Toc31870"/>
      <w:bookmarkStart w:id="3" w:name="_Toc6786"/>
      <w:bookmarkStart w:id="4" w:name="_Toc31728"/>
      <w:bookmarkStart w:id="5" w:name="_Toc234599890"/>
      <w:r>
        <w:rPr>
          <w:rFonts w:hint="eastAsia" w:ascii="宋体" w:hAnsi="宋体" w:cs="宋体"/>
          <w:color w:val="333333"/>
          <w:kern w:val="0"/>
          <w:sz w:val="24"/>
          <w:lang w:val="en-US" w:eastAsia="zh-CN"/>
        </w:rPr>
        <w:t xml:space="preserve"> </w:t>
      </w:r>
      <w:r>
        <w:rPr>
          <w:rFonts w:hint="eastAsia" w:ascii="宋体" w:hAnsi="宋体" w:cs="宋体"/>
          <w:color w:val="333333"/>
          <w:kern w:val="0"/>
          <w:sz w:val="24"/>
        </w:rPr>
        <w:t>评分办法前附表</w:t>
      </w:r>
      <w:bookmarkEnd w:id="1"/>
      <w:bookmarkEnd w:id="2"/>
      <w:bookmarkEnd w:id="3"/>
      <w:bookmarkEnd w:id="4"/>
      <w:bookmarkEnd w:id="5"/>
    </w:p>
    <w:tbl>
      <w:tblPr>
        <w:tblStyle w:val="8"/>
        <w:tblW w:w="9056" w:type="dxa"/>
        <w:jc w:val="center"/>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53"/>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after="160" w:line="360" w:lineRule="exact"/>
              <w:jc w:val="center"/>
              <w:rPr>
                <w:rFonts w:ascii="宋体" w:hAnsi="宋体"/>
              </w:rPr>
            </w:pPr>
            <w:r>
              <w:rPr>
                <w:rFonts w:ascii="宋体" w:hAnsi="宋体"/>
              </w:rPr>
              <w:t>2.2.2</w:t>
            </w:r>
          </w:p>
        </w:tc>
        <w:tc>
          <w:tcPr>
            <w:tcW w:w="2153" w:type="dxa"/>
            <w:tcBorders>
              <w:top w:val="single" w:color="auto" w:sz="4" w:space="0"/>
              <w:left w:val="single" w:color="auto" w:sz="4" w:space="0"/>
              <w:bottom w:val="single" w:color="auto" w:sz="4" w:space="0"/>
              <w:right w:val="single" w:color="auto" w:sz="4" w:space="0"/>
            </w:tcBorders>
            <w:vAlign w:val="center"/>
          </w:tcPr>
          <w:p>
            <w:pPr>
              <w:spacing w:after="160" w:line="360" w:lineRule="exact"/>
              <w:rPr>
                <w:rFonts w:ascii="宋体" w:hAnsi="宋体"/>
              </w:rPr>
            </w:pPr>
            <w:r>
              <w:rPr>
                <w:rFonts w:ascii="宋体" w:hAnsi="宋体"/>
              </w:rPr>
              <w:t>评标基准价计算方法</w:t>
            </w:r>
          </w:p>
        </w:tc>
        <w:tc>
          <w:tcPr>
            <w:tcW w:w="5940" w:type="dxa"/>
            <w:tcBorders>
              <w:top w:val="single" w:color="auto" w:sz="4" w:space="0"/>
              <w:left w:val="single" w:color="auto" w:sz="4" w:space="0"/>
              <w:bottom w:val="single" w:color="auto" w:sz="4" w:space="0"/>
              <w:right w:val="single" w:color="auto" w:sz="4" w:space="0"/>
            </w:tcBorders>
            <w:vAlign w:val="center"/>
          </w:tcPr>
          <w:p>
            <w:pPr>
              <w:spacing w:after="160" w:line="360" w:lineRule="exact"/>
              <w:rPr>
                <w:rFonts w:ascii="宋体" w:hAnsi="Arial" w:eastAsia="Arial"/>
              </w:rPr>
            </w:pPr>
            <w:r>
              <w:rPr>
                <w:rFonts w:ascii="宋体" w:hAnsi="宋体"/>
              </w:rPr>
              <w:t>评标基准值=最高投标限价×K+投标报价×（1-K）。其中：K为最高投标限价权重系数，</w:t>
            </w:r>
            <w:r>
              <w:rPr>
                <w:rFonts w:ascii="宋体" w:hAnsi="Arial" w:eastAsia="Arial"/>
              </w:rPr>
              <w:t>K值为0.3、0.4、0.5，在开标现场随机抽取。投标报价为各投标人有效投标报价去掉一个最高和一个最低报价后的算术平均值。当有效投标少于5家时（不含5家），则以所有有效投标报价的算术平均值作为投标报价。上述最高投标限价、投标报价、有效投标报价在参与评标基准价计算时，均不含规费、安全文明措施费、暂列金额与专业暂估价、增值税。</w:t>
            </w:r>
          </w:p>
        </w:tc>
      </w:tr>
    </w:tbl>
    <w:p>
      <w:pPr>
        <w:widowControl/>
        <w:shd w:val="clear" w:color="auto" w:fill="FFFFFF"/>
        <w:spacing w:line="540" w:lineRule="atLeast"/>
        <w:jc w:val="left"/>
        <w:rPr>
          <w:rFonts w:hint="eastAsia" w:ascii="宋体" w:hAnsi="宋体" w:cs="宋体"/>
          <w:b/>
          <w:color w:val="333333"/>
          <w:kern w:val="0"/>
          <w:sz w:val="24"/>
          <w:lang w:eastAsia="zh-CN"/>
        </w:rPr>
      </w:pPr>
      <w:r>
        <w:rPr>
          <w:rFonts w:hint="eastAsia" w:ascii="宋体" w:hAnsi="宋体" w:cs="宋体"/>
          <w:b/>
          <w:color w:val="333333"/>
          <w:kern w:val="0"/>
          <w:sz w:val="24"/>
          <w:lang w:eastAsia="zh-CN"/>
        </w:rPr>
        <w:t>现变更为：</w:t>
      </w:r>
    </w:p>
    <w:tbl>
      <w:tblPr>
        <w:tblStyle w:val="8"/>
        <w:tblW w:w="97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6"/>
        <w:gridCol w:w="2297"/>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6"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after="160" w:line="360" w:lineRule="exact"/>
              <w:jc w:val="center"/>
              <w:rPr>
                <w:rFonts w:ascii="宋体" w:hAnsi="宋体"/>
              </w:rPr>
            </w:pPr>
            <w:r>
              <w:rPr>
                <w:rFonts w:ascii="宋体" w:hAnsi="宋体"/>
              </w:rPr>
              <w:t>2.2.2</w:t>
            </w:r>
          </w:p>
        </w:tc>
        <w:tc>
          <w:tcPr>
            <w:tcW w:w="2297" w:type="dxa"/>
            <w:tcBorders>
              <w:top w:val="single" w:color="auto" w:sz="4" w:space="0"/>
              <w:left w:val="single" w:color="auto" w:sz="4" w:space="0"/>
              <w:bottom w:val="single" w:color="auto" w:sz="4" w:space="0"/>
              <w:right w:val="single" w:color="auto" w:sz="4" w:space="0"/>
            </w:tcBorders>
            <w:vAlign w:val="center"/>
          </w:tcPr>
          <w:p>
            <w:pPr>
              <w:spacing w:after="160" w:line="360" w:lineRule="exact"/>
              <w:rPr>
                <w:rFonts w:ascii="宋体" w:hAnsi="宋体"/>
              </w:rPr>
            </w:pPr>
            <w:r>
              <w:rPr>
                <w:rFonts w:ascii="宋体" w:hAnsi="宋体"/>
              </w:rPr>
              <w:t>评标基准价计算方法</w:t>
            </w:r>
            <w:bookmarkStart w:id="6" w:name="_GoBack"/>
            <w:bookmarkEnd w:id="6"/>
          </w:p>
        </w:tc>
        <w:tc>
          <w:tcPr>
            <w:tcW w:w="5940" w:type="dxa"/>
            <w:tcBorders>
              <w:top w:val="single" w:color="auto" w:sz="4" w:space="0"/>
              <w:left w:val="single" w:color="auto" w:sz="4" w:space="0"/>
              <w:bottom w:val="single" w:color="auto" w:sz="4" w:space="0"/>
              <w:right w:val="single" w:color="auto" w:sz="4" w:space="0"/>
            </w:tcBorders>
            <w:vAlign w:val="center"/>
          </w:tcPr>
          <w:p>
            <w:pPr>
              <w:spacing w:after="160" w:line="360" w:lineRule="exact"/>
              <w:rPr>
                <w:rFonts w:ascii="宋体" w:hAnsi="Arial" w:eastAsia="Arial"/>
              </w:rPr>
            </w:pPr>
            <w:r>
              <w:rPr>
                <w:rFonts w:ascii="宋体" w:hAnsi="宋体"/>
              </w:rPr>
              <w:t>评标基准值=最高投标限价×K+投标报价×（1-K）。其中：K为最高投标限价权重系数，</w:t>
            </w:r>
            <w:r>
              <w:rPr>
                <w:rFonts w:ascii="宋体" w:hAnsi="Arial" w:eastAsia="Arial"/>
              </w:rPr>
              <w:t>K值为0.3、0.4、0.5，在开标现场随机抽取。投标报价为各投标人有效投标报价去掉一个最高和一个最低报价后的算术平均值。当有效投标少于5家时（不含5家），则以所有有效投标报价的算术平均值作为投标报价。上述最高投标限价、投标报价、有效投标报价在参与评标基准价计算时，均不含规费、安全文明措施费、暂列金额与专业暂估价、增值税。</w:t>
            </w:r>
          </w:p>
          <w:p>
            <w:pPr>
              <w:spacing w:after="160" w:line="360" w:lineRule="exact"/>
              <w:rPr>
                <w:rFonts w:hint="eastAsia" w:ascii="宋体" w:hAnsi="Arial" w:eastAsia="宋体"/>
                <w:lang w:eastAsia="zh-CN"/>
              </w:rPr>
            </w:pPr>
            <w:r>
              <w:rPr>
                <w:rFonts w:hint="eastAsia" w:ascii="宋体" w:hAnsi="Arial"/>
                <w:lang w:eastAsia="zh-CN"/>
              </w:rPr>
              <w:t>（注：符合招标文件要求的投标文件为有效投标文件，进入详细评审阶段，其报价为有效投标报价。）</w:t>
            </w:r>
          </w:p>
        </w:tc>
      </w:tr>
    </w:tbl>
    <w:p>
      <w:pPr>
        <w:keepNext/>
        <w:keepLines/>
        <w:spacing w:before="260" w:after="260" w:line="460" w:lineRule="exact"/>
        <w:ind w:firstLine="480"/>
        <w:jc w:val="both"/>
        <w:rPr>
          <w:rFonts w:hint="eastAsia" w:ascii="宋体" w:hAnsi="宋体" w:eastAsia="宋体" w:cs="宋体"/>
          <w:color w:val="333333"/>
          <w:kern w:val="0"/>
          <w:sz w:val="24"/>
          <w:lang w:eastAsia="zh-CN"/>
        </w:rPr>
      </w:pPr>
      <w:r>
        <w:rPr>
          <w:rFonts w:hint="eastAsia" w:ascii="宋体" w:hAnsi="宋体" w:cs="宋体"/>
          <w:color w:val="333333"/>
          <w:kern w:val="0"/>
          <w:sz w:val="24"/>
          <w:lang w:eastAsia="zh-CN"/>
        </w:rPr>
        <w:t>第2.2.4(2)项中</w:t>
      </w:r>
    </w:p>
    <w:tbl>
      <w:tblPr>
        <w:tblStyle w:val="8"/>
        <w:tblW w:w="77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6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276" w:type="dxa"/>
            <w:vAlign w:val="center"/>
          </w:tcPr>
          <w:p>
            <w:pPr>
              <w:pStyle w:val="5"/>
              <w:spacing w:before="280" w:beforeAutospacing="1" w:after="280" w:afterAutospacing="1" w:line="360" w:lineRule="exact"/>
              <w:jc w:val="center"/>
              <w:rPr>
                <w:rFonts w:ascii="宋体" w:hAnsi="宋体"/>
                <w:sz w:val="21"/>
                <w:szCs w:val="21"/>
              </w:rPr>
            </w:pPr>
            <w:r>
              <w:rPr>
                <w:rFonts w:ascii="宋体" w:hAnsi="宋体"/>
                <w:sz w:val="21"/>
                <w:szCs w:val="21"/>
              </w:rPr>
              <w:t>2、分部分项工程项目综合单价的评审</w:t>
            </w:r>
          </w:p>
          <w:p>
            <w:pPr>
              <w:autoSpaceDE w:val="0"/>
              <w:autoSpaceDN w:val="0"/>
              <w:spacing w:after="160" w:line="360" w:lineRule="exact"/>
              <w:ind w:firstLine="420"/>
              <w:rPr>
                <w:rFonts w:hAnsi="宋体"/>
              </w:rPr>
            </w:pPr>
            <w:r>
              <w:rPr>
                <w:rFonts w:ascii="宋体" w:hAnsi="宋体"/>
              </w:rPr>
              <w:t>10分</w:t>
            </w:r>
          </w:p>
        </w:tc>
        <w:tc>
          <w:tcPr>
            <w:tcW w:w="6523" w:type="dxa"/>
            <w:vAlign w:val="center"/>
          </w:tcPr>
          <w:p>
            <w:pPr>
              <w:autoSpaceDE w:val="0"/>
              <w:autoSpaceDN w:val="0"/>
              <w:spacing w:after="160" w:line="360" w:lineRule="exact"/>
              <w:rPr>
                <w:rFonts w:ascii="宋体" w:hAnsi="宋体"/>
              </w:rPr>
            </w:pPr>
            <w:r>
              <w:rPr>
                <w:rFonts w:ascii="宋体" w:hAnsi="宋体"/>
              </w:rPr>
              <w:t>从最高投标限价中分部分项工程项目中抽取3项。</w:t>
            </w:r>
          </w:p>
          <w:p>
            <w:pPr>
              <w:autoSpaceDE w:val="0"/>
              <w:autoSpaceDN w:val="0"/>
              <w:spacing w:after="160" w:line="360" w:lineRule="exact"/>
              <w:rPr>
                <w:rFonts w:ascii="宋体" w:hAnsi="宋体"/>
              </w:rPr>
            </w:pPr>
            <w:r>
              <w:rPr>
                <w:rFonts w:ascii="宋体" w:hAnsi="宋体"/>
              </w:rPr>
              <w:t>综合单价基准值是以各有效投标报价中（当有效投标人5名及以上时，去掉1个最高、1个最低值）对应抽取清单项目综合单价的算术平均值。</w:t>
            </w:r>
          </w:p>
          <w:p>
            <w:pPr>
              <w:autoSpaceDE w:val="0"/>
              <w:autoSpaceDN w:val="0"/>
              <w:spacing w:after="160" w:line="360" w:lineRule="exact"/>
              <w:rPr>
                <w:rFonts w:hAnsi="宋体"/>
              </w:rPr>
            </w:pPr>
            <w:r>
              <w:rPr>
                <w:rFonts w:ascii="宋体" w:hAnsi="宋体"/>
              </w:rPr>
              <w:t>投标人报价在综合单价基准值95%-103%范围内（不含95%和103%）的，每项得0.5分；在综合单价基准值90%-95%范围内（含90%和95%）的，每项得0.25分。满分10分，超出该范围不得分。</w:t>
            </w:r>
          </w:p>
        </w:tc>
      </w:tr>
    </w:tbl>
    <w:p>
      <w:pPr>
        <w:widowControl/>
        <w:shd w:val="clear" w:color="auto" w:fill="FFFFFF"/>
        <w:spacing w:line="540" w:lineRule="atLeast"/>
        <w:jc w:val="left"/>
        <w:rPr>
          <w:rFonts w:hint="eastAsia" w:ascii="宋体" w:hAnsi="宋体" w:cs="宋体"/>
          <w:b/>
          <w:color w:val="333333"/>
          <w:kern w:val="0"/>
          <w:sz w:val="24"/>
        </w:rPr>
      </w:pPr>
      <w:r>
        <w:rPr>
          <w:rFonts w:hint="eastAsia" w:ascii="宋体" w:hAnsi="宋体" w:cs="宋体"/>
          <w:b/>
          <w:color w:val="333333"/>
          <w:kern w:val="0"/>
          <w:sz w:val="24"/>
        </w:rPr>
        <w:t>现变更为：</w:t>
      </w:r>
    </w:p>
    <w:tbl>
      <w:tblPr>
        <w:tblStyle w:val="8"/>
        <w:tblW w:w="77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6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276" w:type="dxa"/>
            <w:vAlign w:val="center"/>
          </w:tcPr>
          <w:p>
            <w:pPr>
              <w:pStyle w:val="5"/>
              <w:spacing w:before="280" w:beforeAutospacing="1" w:after="280" w:afterAutospacing="1" w:line="360" w:lineRule="exact"/>
              <w:jc w:val="center"/>
              <w:rPr>
                <w:rFonts w:ascii="宋体" w:hAnsi="宋体"/>
                <w:sz w:val="21"/>
                <w:szCs w:val="21"/>
              </w:rPr>
            </w:pPr>
            <w:r>
              <w:rPr>
                <w:rFonts w:ascii="宋体" w:hAnsi="宋体"/>
                <w:sz w:val="21"/>
                <w:szCs w:val="21"/>
              </w:rPr>
              <w:t>2、分部分项工程项目综合单价的评审</w:t>
            </w:r>
          </w:p>
          <w:p>
            <w:pPr>
              <w:autoSpaceDE w:val="0"/>
              <w:autoSpaceDN w:val="0"/>
              <w:spacing w:after="160" w:line="360" w:lineRule="exact"/>
              <w:ind w:firstLine="420"/>
              <w:rPr>
                <w:rFonts w:hAnsi="宋体"/>
              </w:rPr>
            </w:pPr>
            <w:r>
              <w:rPr>
                <w:rFonts w:ascii="宋体" w:hAnsi="宋体"/>
              </w:rPr>
              <w:t>10分</w:t>
            </w:r>
          </w:p>
        </w:tc>
        <w:tc>
          <w:tcPr>
            <w:tcW w:w="6523" w:type="dxa"/>
            <w:vAlign w:val="center"/>
          </w:tcPr>
          <w:p>
            <w:pPr>
              <w:autoSpaceDE w:val="0"/>
              <w:autoSpaceDN w:val="0"/>
              <w:spacing w:after="160" w:line="360" w:lineRule="exact"/>
              <w:rPr>
                <w:rFonts w:hint="eastAsia" w:ascii="宋体" w:hAnsi="宋体"/>
              </w:rPr>
            </w:pPr>
            <w:r>
              <w:rPr>
                <w:rFonts w:hint="eastAsia" w:ascii="宋体" w:hAnsi="宋体"/>
              </w:rPr>
              <w:t>从最高投标限价中分部分项工程项目权重最大的前10-30项清单项目中抽取15项，在剩余的分部分项工程项目清单项目中抽取5项。</w:t>
            </w:r>
          </w:p>
          <w:p>
            <w:pPr>
              <w:autoSpaceDE w:val="0"/>
              <w:autoSpaceDN w:val="0"/>
              <w:spacing w:after="160" w:line="360" w:lineRule="exact"/>
              <w:rPr>
                <w:rFonts w:hint="eastAsia" w:ascii="宋体" w:hAnsi="宋体"/>
              </w:rPr>
            </w:pPr>
            <w:r>
              <w:rPr>
                <w:rFonts w:hint="eastAsia" w:ascii="宋体" w:hAnsi="宋体"/>
              </w:rPr>
              <w:t>综合单价基准值是以各有效投标报价中（当有效投标人5名及以上时，去掉1个最高、1个最低值）对应抽取清单项目综合单价的算术平均值。</w:t>
            </w:r>
          </w:p>
          <w:p>
            <w:pPr>
              <w:autoSpaceDE w:val="0"/>
              <w:autoSpaceDN w:val="0"/>
              <w:spacing w:after="160" w:line="360" w:lineRule="exact"/>
              <w:rPr>
                <w:rFonts w:hAnsi="宋体"/>
              </w:rPr>
            </w:pPr>
            <w:r>
              <w:rPr>
                <w:rFonts w:hint="eastAsia" w:ascii="宋体" w:hAnsi="宋体"/>
              </w:rPr>
              <w:t>投标人报价在综合单价基准值95%–103%范围内（不含95%和103%）的，每项得0.5分；在综合单价基准值90%–95%范围内（含90%和95%）每项得0.25分。满分共计10分。超出该范围的不得分。</w:t>
            </w:r>
          </w:p>
        </w:tc>
      </w:tr>
    </w:tbl>
    <w:p>
      <w:pPr>
        <w:widowControl/>
        <w:shd w:val="clear" w:color="auto" w:fill="FFFFFF"/>
        <w:spacing w:line="540" w:lineRule="atLeast"/>
        <w:jc w:val="left"/>
        <w:rPr>
          <w:rFonts w:ascii="宋体" w:hAnsi="宋体" w:cs="宋体"/>
          <w:color w:val="333333"/>
          <w:kern w:val="0"/>
          <w:sz w:val="24"/>
        </w:rPr>
      </w:pPr>
      <w:r>
        <w:rPr>
          <w:rFonts w:hint="eastAsia" w:ascii="宋体" w:hAnsi="宋体" w:cs="宋体"/>
          <w:color w:val="333333"/>
          <w:kern w:val="0"/>
          <w:sz w:val="24"/>
        </w:rPr>
        <w:t>四、联系方式</w:t>
      </w:r>
    </w:p>
    <w:p>
      <w:pPr>
        <w:widowControl/>
        <w:shd w:val="clear" w:color="auto" w:fill="FFFFFF"/>
        <w:spacing w:line="440" w:lineRule="atLeast"/>
        <w:ind w:left="420" w:leftChars="200"/>
        <w:jc w:val="left"/>
        <w:rPr>
          <w:rFonts w:ascii="宋体" w:hAnsi="宋体" w:cs="宋体"/>
          <w:color w:val="333333"/>
          <w:kern w:val="0"/>
          <w:sz w:val="24"/>
        </w:rPr>
      </w:pPr>
      <w:r>
        <w:rPr>
          <w:rFonts w:ascii="宋体" w:hAnsi="宋体" w:cs="宋体"/>
          <w:color w:val="333333"/>
          <w:kern w:val="0"/>
          <w:sz w:val="24"/>
        </w:rPr>
        <w:t>招标人：开封市祥符区住房和城乡建设局</w:t>
      </w:r>
    </w:p>
    <w:p>
      <w:pPr>
        <w:widowControl/>
        <w:shd w:val="clear" w:color="auto" w:fill="FFFFFF"/>
        <w:spacing w:line="440" w:lineRule="atLeast"/>
        <w:ind w:left="420" w:leftChars="200"/>
        <w:jc w:val="left"/>
        <w:rPr>
          <w:rFonts w:ascii="宋体" w:hAnsi="宋体" w:cs="宋体"/>
          <w:color w:val="333333"/>
          <w:kern w:val="0"/>
          <w:sz w:val="24"/>
        </w:rPr>
      </w:pPr>
      <w:r>
        <w:rPr>
          <w:rFonts w:ascii="宋体" w:hAnsi="宋体" w:cs="宋体"/>
          <w:color w:val="333333"/>
          <w:kern w:val="0"/>
          <w:sz w:val="24"/>
        </w:rPr>
        <w:t>联系人： 孙先生</w:t>
      </w:r>
      <w:r>
        <w:rPr>
          <w:rFonts w:ascii="宋体" w:hAnsi="宋体" w:cs="宋体"/>
          <w:color w:val="333333"/>
          <w:kern w:val="0"/>
          <w:sz w:val="24"/>
        </w:rPr>
        <w:br w:type="textWrapping"/>
      </w:r>
      <w:r>
        <w:rPr>
          <w:rFonts w:ascii="宋体" w:hAnsi="宋体" w:cs="宋体"/>
          <w:color w:val="333333"/>
          <w:kern w:val="0"/>
          <w:sz w:val="24"/>
        </w:rPr>
        <w:t>联系电话：13949407778</w:t>
      </w:r>
    </w:p>
    <w:p>
      <w:pPr>
        <w:widowControl/>
        <w:shd w:val="clear" w:color="auto" w:fill="FFFFFF"/>
        <w:spacing w:line="440" w:lineRule="atLeast"/>
        <w:ind w:left="420" w:leftChars="200"/>
        <w:jc w:val="left"/>
        <w:rPr>
          <w:rFonts w:ascii="宋体" w:hAnsi="宋体" w:cs="宋体"/>
          <w:color w:val="333333"/>
          <w:kern w:val="0"/>
          <w:sz w:val="24"/>
        </w:rPr>
      </w:pPr>
      <w:r>
        <w:rPr>
          <w:rFonts w:hint="eastAsia" w:ascii="宋体" w:hAnsi="宋体" w:cs="宋体"/>
          <w:color w:val="333333"/>
          <w:kern w:val="0"/>
          <w:sz w:val="24"/>
        </w:rPr>
        <w:t>地址</w:t>
      </w:r>
      <w:r>
        <w:rPr>
          <w:rFonts w:ascii="宋体" w:hAnsi="宋体" w:cs="宋体"/>
          <w:color w:val="333333"/>
          <w:kern w:val="0"/>
          <w:sz w:val="24"/>
        </w:rPr>
        <w:t>： 开封市祥符区青年大道与恒福街交叉口</w:t>
      </w:r>
      <w:r>
        <w:rPr>
          <w:rFonts w:hint="eastAsia" w:ascii="宋体" w:hAnsi="宋体" w:cs="宋体"/>
          <w:color w:val="333333"/>
          <w:kern w:val="0"/>
          <w:sz w:val="24"/>
        </w:rPr>
        <w:br w:type="textWrapping"/>
      </w:r>
      <w:r>
        <w:rPr>
          <w:rFonts w:hint="eastAsia" w:ascii="宋体" w:hAnsi="宋体" w:cs="宋体"/>
          <w:color w:val="333333"/>
          <w:kern w:val="0"/>
          <w:sz w:val="24"/>
        </w:rPr>
        <w:t>代理机构：河南正坤建设工程咨询有限公司</w:t>
      </w:r>
    </w:p>
    <w:p>
      <w:pPr>
        <w:widowControl/>
        <w:shd w:val="clear" w:color="auto" w:fill="FFFFFF"/>
        <w:spacing w:line="440" w:lineRule="atLeast"/>
        <w:ind w:firstLine="480"/>
        <w:jc w:val="left"/>
        <w:rPr>
          <w:rFonts w:ascii="宋体" w:hAnsi="宋体" w:cs="宋体"/>
          <w:color w:val="333333"/>
          <w:kern w:val="0"/>
          <w:sz w:val="24"/>
        </w:rPr>
      </w:pPr>
      <w:r>
        <w:rPr>
          <w:rFonts w:hint="eastAsia" w:ascii="宋体" w:hAnsi="宋体" w:cs="宋体"/>
          <w:color w:val="333333"/>
          <w:kern w:val="0"/>
          <w:sz w:val="24"/>
        </w:rPr>
        <w:t>联 系 人：李先生</w:t>
      </w:r>
    </w:p>
    <w:p>
      <w:pPr>
        <w:widowControl/>
        <w:shd w:val="clear" w:color="auto" w:fill="FFFFFF"/>
        <w:spacing w:line="440" w:lineRule="atLeast"/>
        <w:ind w:firstLine="480"/>
        <w:jc w:val="left"/>
        <w:rPr>
          <w:rFonts w:ascii="宋体" w:hAnsi="宋体" w:cs="宋体"/>
          <w:color w:val="333333"/>
          <w:kern w:val="0"/>
          <w:sz w:val="24"/>
        </w:rPr>
      </w:pPr>
      <w:r>
        <w:rPr>
          <w:rFonts w:hint="eastAsia" w:ascii="宋体" w:hAnsi="宋体" w:cs="宋体"/>
          <w:color w:val="333333"/>
          <w:kern w:val="0"/>
          <w:sz w:val="24"/>
        </w:rPr>
        <w:t>联系电话：13781111897</w:t>
      </w:r>
    </w:p>
    <w:p>
      <w:pPr>
        <w:widowControl/>
        <w:shd w:val="clear" w:color="auto" w:fill="FFFFFF"/>
        <w:spacing w:line="440" w:lineRule="atLeast"/>
        <w:ind w:firstLine="480"/>
        <w:jc w:val="left"/>
        <w:rPr>
          <w:rFonts w:ascii="宋体" w:hAnsi="宋体" w:cs="宋体"/>
          <w:color w:val="333333"/>
          <w:kern w:val="0"/>
          <w:sz w:val="24"/>
        </w:rPr>
      </w:pPr>
      <w:r>
        <w:rPr>
          <w:rFonts w:hint="eastAsia" w:ascii="宋体" w:hAnsi="宋体" w:cs="宋体"/>
          <w:color w:val="333333"/>
          <w:kern w:val="0"/>
          <w:sz w:val="24"/>
        </w:rPr>
        <w:t>地 址：郑州市郑东新区永平路北康平路西15号楼3单元1813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niversalMath1 BT">
    <w:panose1 w:val="05050102010205020602"/>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9F"/>
    <w:rsid w:val="00344C12"/>
    <w:rsid w:val="00714A1E"/>
    <w:rsid w:val="007C502A"/>
    <w:rsid w:val="00A006C1"/>
    <w:rsid w:val="00B2399F"/>
    <w:rsid w:val="00BC6B1A"/>
    <w:rsid w:val="00F0428B"/>
    <w:rsid w:val="215B11F3"/>
    <w:rsid w:val="4ADC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7"/>
    <w:pPr>
      <w:keepNext/>
      <w:keepLines/>
      <w:outlineLvl w:val="0"/>
    </w:pPr>
    <w:rPr>
      <w:b/>
      <w:sz w:val="32"/>
      <w:szCs w:val="32"/>
    </w:rPr>
  </w:style>
  <w:style w:type="character" w:default="1" w:styleId="7">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cs="宋体"/>
      <w:kern w:val="0"/>
      <w:sz w:val="24"/>
    </w:rPr>
  </w:style>
  <w:style w:type="paragraph" w:styleId="6">
    <w:name w:val="Title"/>
    <w:basedOn w:val="1"/>
    <w:qFormat/>
    <w:uiPriority w:val="6"/>
    <w:pPr>
      <w:jc w:val="center"/>
      <w:textAlignment w:val="baseline"/>
    </w:pPr>
    <w:rPr>
      <w:rFonts w:ascii="Arial" w:hAnsi="Arial"/>
      <w:b/>
      <w:sz w:val="32"/>
      <w:szCs w:val="32"/>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308</Words>
  <Characters>1758</Characters>
  <Lines>14</Lines>
  <Paragraphs>4</Paragraphs>
  <TotalTime>3</TotalTime>
  <ScaleCrop>false</ScaleCrop>
  <LinksUpToDate>false</LinksUpToDate>
  <CharactersWithSpaces>2062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2019-01-10T09:41:00Z</dcterms:created>
  <dc:creator>河南正坤建设工程咨询有限公司:孙青梅</dc:creator>
  <cp:lastModifiedBy>Administrator</cp:lastModifiedBy>
  <cp:lastPrinted>2019-02-11T07:39:07Z</cp:lastPrinted>
  <dcterms:modified xsi:type="dcterms:W3CDTF">2019-02-11T07:39:29Z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