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56" w:lineRule="auto"/>
        <w:jc w:val="left"/>
        <w:rPr>
          <w:rFonts w:ascii="宋体" w:cs="Arial"/>
          <w:b/>
          <w:bCs/>
          <w:kern w:val="0"/>
          <w:sz w:val="44"/>
          <w:szCs w:val="44"/>
        </w:rPr>
      </w:pPr>
      <w:r>
        <w:rPr>
          <w:rFonts w:hint="eastAsia" w:ascii="宋体" w:hAnsi="宋体" w:cs="Arial"/>
          <w:b/>
          <w:bCs/>
          <w:kern w:val="0"/>
          <w:sz w:val="44"/>
          <w:szCs w:val="44"/>
        </w:rPr>
        <w:t>一标段：</w:t>
      </w:r>
    </w:p>
    <w:p>
      <w:pPr>
        <w:pStyle w:val="13"/>
        <w:spacing w:line="360" w:lineRule="auto"/>
        <w:rPr>
          <w:rFonts w:cs="Times New Roman"/>
          <w:b/>
          <w:color w:val="auto"/>
          <w:kern w:val="2"/>
          <w:sz w:val="36"/>
          <w:szCs w:val="36"/>
        </w:rPr>
      </w:pPr>
      <w:r>
        <w:rPr>
          <w:rFonts w:cs="Times New Roman"/>
          <w:b/>
          <w:color w:val="auto"/>
          <w:kern w:val="2"/>
          <w:sz w:val="36"/>
          <w:szCs w:val="36"/>
        </w:rPr>
        <w:t>1.</w:t>
      </w:r>
      <w:r>
        <w:rPr>
          <w:rFonts w:hint="eastAsia" w:cs="Times New Roman"/>
          <w:b/>
          <w:color w:val="auto"/>
          <w:kern w:val="2"/>
          <w:sz w:val="36"/>
          <w:szCs w:val="36"/>
        </w:rPr>
        <w:t>原项目电子招标文件：</w:t>
      </w:r>
    </w:p>
    <w:p>
      <w:pPr>
        <w:pStyle w:val="13"/>
        <w:spacing w:line="360" w:lineRule="auto"/>
        <w:rPr>
          <w:rFonts w:cs="Times New Roman"/>
          <w:color w:val="auto"/>
          <w:kern w:val="2"/>
          <w:sz w:val="21"/>
          <w:szCs w:val="21"/>
        </w:rPr>
      </w:pPr>
      <w:r>
        <w:rPr>
          <w:rFonts w:hint="eastAsia" w:cs="Times New Roman"/>
          <w:color w:val="auto"/>
          <w:kern w:val="2"/>
          <w:sz w:val="21"/>
          <w:szCs w:val="21"/>
        </w:rPr>
        <w:t>开封市中心医院教学管理系统一批采购项目一标段</w:t>
      </w:r>
      <w:r>
        <w:rPr>
          <w:rFonts w:cs="Times New Roman"/>
          <w:color w:val="auto"/>
          <w:kern w:val="2"/>
          <w:sz w:val="21"/>
          <w:szCs w:val="21"/>
        </w:rPr>
        <w:t xml:space="preserve"> </w:t>
      </w:r>
      <w:r>
        <w:rPr>
          <w:rFonts w:hint="eastAsia" w:cs="Times New Roman"/>
          <w:b/>
          <w:color w:val="auto"/>
          <w:kern w:val="2"/>
          <w:sz w:val="21"/>
          <w:szCs w:val="21"/>
        </w:rPr>
        <w:t>“</w:t>
      </w:r>
      <w:r>
        <w:rPr>
          <w:rFonts w:hint="eastAsia" w:cs="Times New Roman"/>
          <w:color w:val="auto"/>
          <w:kern w:val="2"/>
          <w:sz w:val="21"/>
          <w:szCs w:val="21"/>
        </w:rPr>
        <w:t>第三章</w:t>
      </w:r>
      <w:r>
        <w:rPr>
          <w:rFonts w:cs="Times New Roman"/>
          <w:color w:val="auto"/>
          <w:kern w:val="2"/>
          <w:sz w:val="21"/>
          <w:szCs w:val="21"/>
        </w:rPr>
        <w:t xml:space="preserve">  </w:t>
      </w:r>
      <w:r>
        <w:rPr>
          <w:rFonts w:hint="eastAsia" w:cs="Times New Roman"/>
          <w:color w:val="auto"/>
          <w:kern w:val="2"/>
          <w:sz w:val="21"/>
          <w:szCs w:val="21"/>
        </w:rPr>
        <w:t>评标办法</w:t>
      </w:r>
    </w:p>
    <w:p>
      <w:pPr>
        <w:spacing w:line="360" w:lineRule="auto"/>
        <w:ind w:firstLine="480" w:firstLineChars="200"/>
        <w:jc w:val="left"/>
        <w:rPr>
          <w:rFonts w:ascii="宋体" w:cs="宋体"/>
          <w:color w:val="000000"/>
          <w:kern w:val="0"/>
          <w:sz w:val="24"/>
          <w:szCs w:val="24"/>
        </w:rPr>
      </w:pPr>
      <w:r>
        <w:rPr>
          <w:rFonts w:hint="eastAsia" w:ascii="宋体" w:hAnsi="宋体" w:cs="宋体"/>
          <w:color w:val="000000"/>
          <w:kern w:val="0"/>
          <w:sz w:val="24"/>
          <w:szCs w:val="24"/>
        </w:rPr>
        <w:t>核心产品的确定及同一品牌的认定：</w:t>
      </w:r>
    </w:p>
    <w:p>
      <w:pPr>
        <w:spacing w:line="360" w:lineRule="auto"/>
        <w:ind w:firstLine="480" w:firstLineChars="200"/>
        <w:jc w:val="left"/>
        <w:rPr>
          <w:rFonts w:ascii="宋体" w:cs="宋体"/>
          <w:color w:val="000000"/>
          <w:kern w:val="0"/>
          <w:sz w:val="24"/>
          <w:szCs w:val="24"/>
        </w:rPr>
      </w:pPr>
      <w:r>
        <w:rPr>
          <w:rFonts w:hint="eastAsia" w:ascii="宋体" w:hAnsi="宋体" w:cs="宋体"/>
          <w:color w:val="000000"/>
          <w:kern w:val="0"/>
          <w:sz w:val="24"/>
          <w:szCs w:val="24"/>
        </w:rPr>
        <w:t>依据项目占比及技术复杂性，本次项目核心产品为：住培生教学管理系统。</w:t>
      </w:r>
    </w:p>
    <w:p>
      <w:pPr>
        <w:spacing w:line="360" w:lineRule="auto"/>
        <w:ind w:firstLine="480" w:firstLineChars="200"/>
        <w:jc w:val="left"/>
        <w:rPr>
          <w:rFonts w:ascii="宋体" w:cs="宋体"/>
          <w:color w:val="000000"/>
          <w:kern w:val="0"/>
          <w:sz w:val="24"/>
          <w:szCs w:val="24"/>
        </w:rPr>
      </w:pPr>
      <w:r>
        <w:rPr>
          <w:rFonts w:hint="eastAsia" w:ascii="宋体" w:hAnsi="宋体" w:cs="宋体"/>
          <w:color w:val="000000"/>
          <w:kern w:val="0"/>
          <w:sz w:val="24"/>
          <w:szCs w:val="24"/>
        </w:rPr>
        <w:t>依据中华人民共和国财政部令第</w:t>
      </w:r>
      <w:r>
        <w:rPr>
          <w:rFonts w:ascii="宋体" w:hAnsi="宋体" w:cs="宋体"/>
          <w:color w:val="000000"/>
          <w:kern w:val="0"/>
          <w:sz w:val="24"/>
          <w:szCs w:val="24"/>
        </w:rPr>
        <w:t>87</w:t>
      </w:r>
      <w:r>
        <w:rPr>
          <w:rFonts w:hint="eastAsia" w:ascii="宋体" w:hAnsi="宋体" w:cs="宋体"/>
          <w:color w:val="000000"/>
          <w:kern w:val="0"/>
          <w:sz w:val="24"/>
          <w:szCs w:val="24"/>
        </w:rPr>
        <w:t>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w:t>
      </w:r>
      <w:r>
        <w:rPr>
          <w:rFonts w:ascii="宋体" w:hAnsi="宋体" w:cs="宋体"/>
          <w:color w:val="000000"/>
          <w:kern w:val="0"/>
          <w:sz w:val="24"/>
          <w:szCs w:val="24"/>
        </w:rPr>
        <w:t>+</w:t>
      </w:r>
      <w:r>
        <w:rPr>
          <w:rFonts w:hint="eastAsia" w:ascii="宋体" w:hAnsi="宋体" w:cs="宋体"/>
          <w:color w:val="000000"/>
          <w:kern w:val="0"/>
          <w:sz w:val="24"/>
          <w:szCs w:val="24"/>
        </w:rPr>
        <w:t>综合）的同品牌供应商获得中标人推荐资格，其他同品牌供应商不作为中标候选人。</w:t>
      </w:r>
    </w:p>
    <w:p>
      <w:pPr>
        <w:spacing w:line="360" w:lineRule="auto"/>
        <w:ind w:firstLine="480" w:firstLineChars="200"/>
        <w:jc w:val="left"/>
        <w:rPr>
          <w:rFonts w:ascii="宋体" w:cs="宋体"/>
          <w:color w:val="000000"/>
          <w:kern w:val="0"/>
          <w:sz w:val="24"/>
          <w:szCs w:val="24"/>
        </w:rPr>
      </w:pPr>
      <w:r>
        <w:rPr>
          <w:rFonts w:hint="eastAsia" w:ascii="宋体" w:hAnsi="宋体" w:cs="宋体"/>
          <w:color w:val="000000"/>
          <w:kern w:val="0"/>
          <w:sz w:val="24"/>
          <w:szCs w:val="24"/>
        </w:rPr>
        <w:t>本项目采用综合评分法。</w:t>
      </w:r>
    </w:p>
    <w:p>
      <w:pPr>
        <w:spacing w:line="360" w:lineRule="auto"/>
        <w:ind w:firstLine="205" w:firstLineChars="98"/>
        <w:jc w:val="left"/>
        <w:rPr>
          <w:rFonts w:asci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、初步评审</w:t>
      </w:r>
    </w:p>
    <w:tbl>
      <w:tblPr>
        <w:tblStyle w:val="7"/>
        <w:tblW w:w="9214" w:type="dxa"/>
        <w:jc w:val="center"/>
        <w:tblInd w:w="0" w:type="dxa"/>
        <w:tblLayout w:type="fixed"/>
        <w:tblCellMar>
          <w:top w:w="0" w:type="dxa"/>
          <w:left w:w="108" w:type="dxa"/>
          <w:bottom w:w="0" w:type="dxa"/>
          <w:right w:w="108" w:type="dxa"/>
        </w:tblCellMar>
      </w:tblPr>
      <w:tblGrid>
        <w:gridCol w:w="1348"/>
        <w:gridCol w:w="2976"/>
        <w:gridCol w:w="3402"/>
        <w:gridCol w:w="1488"/>
      </w:tblGrid>
      <w:tr>
        <w:tblPrEx>
          <w:tblLayout w:type="fixed"/>
          <w:tblCellMar>
            <w:top w:w="0" w:type="dxa"/>
            <w:left w:w="108" w:type="dxa"/>
            <w:bottom w:w="0" w:type="dxa"/>
            <w:right w:w="108" w:type="dxa"/>
          </w:tblCellMar>
        </w:tblPrEx>
        <w:trPr>
          <w:trHeight w:val="531" w:hRule="atLeast"/>
          <w:jc w:val="center"/>
        </w:trPr>
        <w:tc>
          <w:tcPr>
            <w:tcW w:w="1348"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33"/>
              <w:jc w:val="center"/>
              <w:rPr>
                <w:rFonts w:ascii="宋体" w:cs="宋体"/>
                <w:kern w:val="1"/>
                <w:szCs w:val="21"/>
              </w:rPr>
            </w:pPr>
            <w:bookmarkStart w:id="0" w:name="_Toc257210929"/>
            <w:bookmarkEnd w:id="0"/>
            <w:bookmarkStart w:id="1" w:name="_Toc238352250"/>
            <w:bookmarkEnd w:id="1"/>
            <w:bookmarkStart w:id="2" w:name="_Toc257210930"/>
            <w:bookmarkEnd w:id="2"/>
            <w:bookmarkStart w:id="3" w:name="_Toc238352249"/>
            <w:bookmarkEnd w:id="3"/>
            <w:r>
              <w:rPr>
                <w:rFonts w:hint="eastAsia" w:ascii="宋体" w:hAnsi="宋体" w:cs="宋体"/>
                <w:kern w:val="1"/>
                <w:szCs w:val="21"/>
              </w:rPr>
              <w:t>条款号</w:t>
            </w: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评审因素</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r>
              <w:rPr>
                <w:rFonts w:hint="eastAsia" w:ascii="宋体" w:hAnsi="宋体" w:cs="宋体"/>
                <w:kern w:val="1"/>
                <w:szCs w:val="21"/>
              </w:rPr>
              <w:t>评审标准</w:t>
            </w:r>
          </w:p>
        </w:tc>
      </w:tr>
      <w:tr>
        <w:tblPrEx>
          <w:tblLayout w:type="fixed"/>
          <w:tblCellMar>
            <w:top w:w="0" w:type="dxa"/>
            <w:left w:w="108" w:type="dxa"/>
            <w:bottom w:w="0" w:type="dxa"/>
            <w:right w:w="108" w:type="dxa"/>
          </w:tblCellMar>
        </w:tblPrEx>
        <w:trPr>
          <w:trHeight w:val="693" w:hRule="exact"/>
          <w:jc w:val="center"/>
        </w:trPr>
        <w:tc>
          <w:tcPr>
            <w:tcW w:w="1348" w:type="dxa"/>
            <w:vMerge w:val="restart"/>
            <w:tcBorders>
              <w:top w:val="single" w:color="000000" w:sz="4" w:space="0"/>
              <w:left w:val="single" w:color="000000" w:sz="4" w:space="0"/>
              <w:right w:val="single" w:color="000000" w:sz="4" w:space="0"/>
            </w:tcBorders>
            <w:vAlign w:val="center"/>
          </w:tcPr>
          <w:p>
            <w:pPr>
              <w:spacing w:line="360" w:lineRule="auto"/>
              <w:jc w:val="center"/>
              <w:rPr>
                <w:rFonts w:ascii="宋体" w:cs="宋体"/>
                <w:kern w:val="1"/>
                <w:szCs w:val="21"/>
              </w:rPr>
            </w:pPr>
            <w:r>
              <w:rPr>
                <w:rFonts w:ascii="宋体" w:hAnsi="宋体" w:cs="宋体"/>
                <w:kern w:val="1"/>
                <w:szCs w:val="21"/>
              </w:rPr>
              <w:t>1.1</w:t>
            </w:r>
          </w:p>
          <w:p>
            <w:pPr>
              <w:spacing w:line="360" w:lineRule="auto"/>
              <w:jc w:val="center"/>
              <w:rPr>
                <w:rFonts w:ascii="宋体" w:cs="宋体"/>
                <w:bCs/>
                <w:kern w:val="1"/>
                <w:szCs w:val="21"/>
              </w:rPr>
            </w:pPr>
            <w:r>
              <w:rPr>
                <w:rFonts w:hint="eastAsia" w:ascii="宋体" w:hAnsi="宋体" w:cs="宋体"/>
                <w:kern w:val="1"/>
                <w:szCs w:val="21"/>
              </w:rPr>
              <w:t>资格评审标准（不验原件，</w:t>
            </w:r>
            <w:r>
              <w:rPr>
                <w:rFonts w:hint="eastAsia" w:ascii="宋体" w:hAnsi="宋体" w:cs="黑体"/>
                <w:kern w:val="0"/>
                <w:szCs w:val="21"/>
              </w:rPr>
              <w:t>根据</w:t>
            </w:r>
            <w:r>
              <w:rPr>
                <w:rFonts w:ascii="宋体" w:hAnsi="宋体" w:cs="黑体"/>
                <w:kern w:val="0"/>
                <w:szCs w:val="21"/>
              </w:rPr>
              <w:t>87</w:t>
            </w:r>
            <w:r>
              <w:rPr>
                <w:rFonts w:hint="eastAsia" w:ascii="宋体" w:hAnsi="宋体" w:cs="黑体"/>
                <w:kern w:val="0"/>
                <w:szCs w:val="21"/>
              </w:rPr>
              <w:t>号令</w:t>
            </w:r>
            <w:r>
              <w:rPr>
                <w:rFonts w:ascii="宋体" w:cs="黑体"/>
                <w:kern w:val="0"/>
                <w:szCs w:val="21"/>
              </w:rPr>
              <w:t>,</w:t>
            </w:r>
            <w:r>
              <w:rPr>
                <w:rFonts w:hint="eastAsia" w:ascii="宋体" w:hAnsi="宋体" w:cs="黑体"/>
                <w:kern w:val="0"/>
                <w:szCs w:val="21"/>
              </w:rPr>
              <w:t>代理机构或者采购人依法对投标人资格进行审查。</w:t>
            </w:r>
            <w:r>
              <w:rPr>
                <w:rFonts w:hint="eastAsia" w:ascii="宋体" w:hAnsi="宋体" w:cs="宋体"/>
                <w:bCs/>
                <w:kern w:val="1"/>
                <w:szCs w:val="21"/>
              </w:rPr>
              <w:t>）</w:t>
            </w:r>
          </w:p>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营业执照</w:t>
            </w:r>
          </w:p>
        </w:tc>
        <w:tc>
          <w:tcPr>
            <w:tcW w:w="340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见投标人须知前附表</w:t>
            </w:r>
          </w:p>
        </w:tc>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1272"/>
              </w:tabs>
              <w:spacing w:line="360" w:lineRule="auto"/>
              <w:jc w:val="center"/>
              <w:rPr>
                <w:rFonts w:ascii="宋体" w:cs="宋体"/>
                <w:kern w:val="1"/>
                <w:szCs w:val="21"/>
              </w:rPr>
            </w:pPr>
            <w:r>
              <w:rPr>
                <w:rFonts w:hint="eastAsia" w:ascii="宋体" w:hAnsi="宋体" w:cs="宋体"/>
                <w:kern w:val="1"/>
                <w:szCs w:val="21"/>
              </w:rPr>
              <w:t>三证合一者只提供营业执照，经营范围包括符合本项目要求</w:t>
            </w:r>
          </w:p>
        </w:tc>
      </w:tr>
      <w:tr>
        <w:tblPrEx>
          <w:tblLayout w:type="fixed"/>
          <w:tblCellMar>
            <w:top w:w="0" w:type="dxa"/>
            <w:left w:w="108" w:type="dxa"/>
            <w:bottom w:w="0" w:type="dxa"/>
            <w:right w:w="108" w:type="dxa"/>
          </w:tblCellMar>
        </w:tblPrEx>
        <w:trPr>
          <w:trHeight w:val="710"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税务登记证</w:t>
            </w:r>
          </w:p>
        </w:tc>
        <w:tc>
          <w:tcPr>
            <w:tcW w:w="340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具有有效的税务登记证</w:t>
            </w: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p>
        </w:tc>
      </w:tr>
      <w:tr>
        <w:tblPrEx>
          <w:tblLayout w:type="fixed"/>
          <w:tblCellMar>
            <w:top w:w="0" w:type="dxa"/>
            <w:left w:w="108" w:type="dxa"/>
            <w:bottom w:w="0" w:type="dxa"/>
            <w:right w:w="108" w:type="dxa"/>
          </w:tblCellMar>
        </w:tblPrEx>
        <w:trPr>
          <w:trHeight w:val="860"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组织机构代码证</w:t>
            </w:r>
          </w:p>
        </w:tc>
        <w:tc>
          <w:tcPr>
            <w:tcW w:w="340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具有有效的组织机构代码证</w:t>
            </w: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p>
        </w:tc>
      </w:tr>
      <w:tr>
        <w:tblPrEx>
          <w:tblLayout w:type="fixed"/>
          <w:tblCellMar>
            <w:top w:w="0" w:type="dxa"/>
            <w:left w:w="108" w:type="dxa"/>
            <w:bottom w:w="0" w:type="dxa"/>
            <w:right w:w="108" w:type="dxa"/>
          </w:tblCellMar>
        </w:tblPrEx>
        <w:trPr>
          <w:trHeight w:val="477"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r>
              <w:rPr>
                <w:rFonts w:hint="eastAsia" w:ascii="宋体" w:hAnsi="宋体" w:cs="宋体"/>
                <w:kern w:val="1"/>
                <w:szCs w:val="21"/>
              </w:rPr>
              <w:t>财务审计报告</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652"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0"/>
                <w:szCs w:val="21"/>
              </w:rPr>
            </w:pPr>
            <w:r>
              <w:rPr>
                <w:rFonts w:hint="eastAsia" w:ascii="宋体" w:hAnsi="宋体" w:cs="Calibri"/>
                <w:kern w:val="0"/>
                <w:szCs w:val="21"/>
              </w:rPr>
              <w:t>缴纳税收和社保的证明材料</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414" w:hRule="atLeas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right w:val="single" w:color="000000" w:sz="4" w:space="0"/>
            </w:tcBorders>
            <w:vAlign w:val="center"/>
          </w:tcPr>
          <w:p>
            <w:pPr>
              <w:spacing w:line="360" w:lineRule="auto"/>
              <w:jc w:val="center"/>
              <w:rPr>
                <w:rFonts w:ascii="宋体" w:cs="Calibri"/>
                <w:szCs w:val="21"/>
              </w:rPr>
            </w:pPr>
            <w:r>
              <w:rPr>
                <w:rFonts w:hint="eastAsia" w:ascii="宋体" w:hAnsi="宋体" w:cs="Calibri"/>
                <w:kern w:val="0"/>
                <w:szCs w:val="21"/>
              </w:rPr>
              <w:t>无重大违法记录的书面声明</w:t>
            </w:r>
          </w:p>
        </w:tc>
        <w:tc>
          <w:tcPr>
            <w:tcW w:w="4890" w:type="dxa"/>
            <w:gridSpan w:val="2"/>
            <w:tcBorders>
              <w:top w:val="single" w:color="000000" w:sz="4" w:space="0"/>
              <w:left w:val="single" w:color="000000" w:sz="4" w:space="0"/>
              <w:right w:val="single" w:color="000000" w:sz="4" w:space="0"/>
            </w:tcBorders>
            <w:vAlign w:val="center"/>
          </w:tcPr>
          <w:p>
            <w:pPr>
              <w:spacing w:line="360" w:lineRule="auto"/>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536" w:hRule="exact"/>
          <w:jc w:val="center"/>
        </w:trPr>
        <w:tc>
          <w:tcPr>
            <w:tcW w:w="1348" w:type="dxa"/>
            <w:vMerge w:val="restart"/>
            <w:tcBorders>
              <w:top w:val="single" w:color="000000" w:sz="4" w:space="0"/>
              <w:left w:val="single" w:color="000000" w:sz="4" w:space="0"/>
              <w:right w:val="single" w:color="000000" w:sz="4" w:space="0"/>
            </w:tcBorders>
            <w:vAlign w:val="center"/>
          </w:tcPr>
          <w:p>
            <w:pPr>
              <w:spacing w:line="360" w:lineRule="auto"/>
              <w:jc w:val="center"/>
              <w:rPr>
                <w:rFonts w:ascii="宋体" w:cs="宋体"/>
                <w:kern w:val="1"/>
                <w:szCs w:val="21"/>
              </w:rPr>
            </w:pPr>
            <w:r>
              <w:rPr>
                <w:rFonts w:ascii="宋体" w:hAnsi="宋体" w:cs="宋体"/>
                <w:kern w:val="1"/>
                <w:szCs w:val="21"/>
              </w:rPr>
              <w:t>1.2</w:t>
            </w:r>
          </w:p>
          <w:p>
            <w:pPr>
              <w:spacing w:line="360" w:lineRule="auto"/>
              <w:jc w:val="center"/>
              <w:rPr>
                <w:rFonts w:ascii="宋体" w:cs="宋体"/>
                <w:kern w:val="1"/>
                <w:szCs w:val="21"/>
              </w:rPr>
            </w:pPr>
            <w:r>
              <w:rPr>
                <w:rFonts w:hint="eastAsia" w:ascii="宋体" w:hAnsi="宋体" w:cs="宋体"/>
                <w:kern w:val="1"/>
                <w:szCs w:val="21"/>
              </w:rPr>
              <w:t>形式评审标准</w:t>
            </w: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投标人名称</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与营业执照一致</w:t>
            </w:r>
          </w:p>
        </w:tc>
      </w:tr>
      <w:tr>
        <w:tblPrEx>
          <w:tblLayout w:type="fixed"/>
          <w:tblCellMar>
            <w:top w:w="0" w:type="dxa"/>
            <w:left w:w="108" w:type="dxa"/>
            <w:bottom w:w="0" w:type="dxa"/>
            <w:right w:w="108" w:type="dxa"/>
          </w:tblCellMar>
        </w:tblPrEx>
        <w:trPr>
          <w:trHeight w:val="619"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签字盖章的要求</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553"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投标文件格式</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符合第六章“投标文件格式</w:t>
            </w:r>
            <w:r>
              <w:rPr>
                <w:rFonts w:hint="eastAsia" w:ascii="宋体" w:cs="宋体"/>
                <w:kern w:val="1"/>
                <w:szCs w:val="21"/>
              </w:rPr>
              <w:t>”</w:t>
            </w:r>
            <w:r>
              <w:rPr>
                <w:rFonts w:hint="eastAsia" w:ascii="宋体" w:hAnsi="宋体" w:cs="宋体"/>
                <w:kern w:val="1"/>
                <w:szCs w:val="21"/>
              </w:rPr>
              <w:t>的要求</w:t>
            </w:r>
          </w:p>
        </w:tc>
      </w:tr>
      <w:tr>
        <w:tblPrEx>
          <w:tblLayout w:type="fixed"/>
          <w:tblCellMar>
            <w:top w:w="0" w:type="dxa"/>
            <w:left w:w="108" w:type="dxa"/>
            <w:bottom w:w="0" w:type="dxa"/>
            <w:right w:w="108" w:type="dxa"/>
          </w:tblCellMar>
        </w:tblPrEx>
        <w:trPr>
          <w:trHeight w:val="575" w:hRule="exact"/>
          <w:jc w:val="center"/>
        </w:trPr>
        <w:tc>
          <w:tcPr>
            <w:tcW w:w="1348" w:type="dxa"/>
            <w:vMerge w:val="continue"/>
            <w:tcBorders>
              <w:left w:val="single" w:color="000000"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报价唯一</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只能有一个有效报价</w:t>
            </w:r>
          </w:p>
        </w:tc>
      </w:tr>
      <w:tr>
        <w:tblPrEx>
          <w:tblLayout w:type="fixed"/>
          <w:tblCellMar>
            <w:top w:w="0" w:type="dxa"/>
            <w:left w:w="108" w:type="dxa"/>
            <w:bottom w:w="0" w:type="dxa"/>
            <w:right w:w="108" w:type="dxa"/>
          </w:tblCellMar>
        </w:tblPrEx>
        <w:trPr>
          <w:trHeight w:val="575" w:hRule="exact"/>
          <w:jc w:val="center"/>
        </w:trPr>
        <w:tc>
          <w:tcPr>
            <w:tcW w:w="1348" w:type="dxa"/>
            <w:vMerge w:val="continue"/>
            <w:tcBorders>
              <w:left w:val="single" w:color="000000" w:sz="4" w:space="0"/>
              <w:bottom w:val="single" w:color="auto" w:sz="4" w:space="0"/>
              <w:right w:val="single" w:color="000000"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Calibri"/>
                <w:kern w:val="0"/>
                <w:szCs w:val="21"/>
              </w:rPr>
            </w:pPr>
            <w:r>
              <w:rPr>
                <w:rFonts w:hint="eastAsia" w:ascii="宋体" w:hAnsi="宋体" w:cs="Calibri"/>
                <w:kern w:val="0"/>
                <w:szCs w:val="21"/>
              </w:rPr>
              <w:t>信用查询</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587" w:hRule="exact"/>
          <w:jc w:val="center"/>
        </w:trPr>
        <w:tc>
          <w:tcPr>
            <w:tcW w:w="1348"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cs="宋体"/>
                <w:kern w:val="1"/>
                <w:szCs w:val="21"/>
              </w:rPr>
            </w:pPr>
            <w:r>
              <w:rPr>
                <w:rFonts w:ascii="宋体" w:hAnsi="宋体" w:cs="宋体"/>
                <w:kern w:val="1"/>
                <w:szCs w:val="21"/>
              </w:rPr>
              <w:t>1.3</w:t>
            </w:r>
          </w:p>
          <w:p>
            <w:pPr>
              <w:spacing w:line="360" w:lineRule="auto"/>
              <w:jc w:val="center"/>
              <w:rPr>
                <w:rFonts w:ascii="宋体" w:cs="宋体"/>
                <w:kern w:val="1"/>
                <w:szCs w:val="21"/>
              </w:rPr>
            </w:pPr>
            <w:r>
              <w:rPr>
                <w:rFonts w:hint="eastAsia" w:ascii="宋体" w:hAnsi="宋体" w:cs="宋体"/>
                <w:kern w:val="1"/>
                <w:szCs w:val="21"/>
              </w:rPr>
              <w:t>响应性评审标准</w:t>
            </w:r>
          </w:p>
        </w:tc>
        <w:tc>
          <w:tcPr>
            <w:tcW w:w="2976"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供货期限</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见投标人须知前附表</w:t>
            </w: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p>
            <w:pPr>
              <w:spacing w:line="360" w:lineRule="auto"/>
              <w:ind w:right="284"/>
              <w:jc w:val="center"/>
              <w:rPr>
                <w:rFonts w:ascii="宋体" w:cs="宋体"/>
                <w:kern w:val="1"/>
                <w:szCs w:val="21"/>
              </w:rPr>
            </w:pPr>
          </w:p>
        </w:tc>
      </w:tr>
      <w:tr>
        <w:tblPrEx>
          <w:tblLayout w:type="fixed"/>
          <w:tblCellMar>
            <w:top w:w="0" w:type="dxa"/>
            <w:left w:w="108" w:type="dxa"/>
            <w:bottom w:w="0" w:type="dxa"/>
            <w:right w:w="108" w:type="dxa"/>
          </w:tblCellMar>
        </w:tblPrEx>
        <w:trPr>
          <w:trHeight w:val="590" w:hRule="exact"/>
          <w:jc w:val="center"/>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质量要求</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见投标人须知前附表</w:t>
            </w:r>
          </w:p>
          <w:p>
            <w:pPr>
              <w:spacing w:line="360" w:lineRule="auto"/>
              <w:ind w:right="284"/>
              <w:jc w:val="center"/>
              <w:rPr>
                <w:rFonts w:ascii="宋体" w:cs="宋体"/>
                <w:kern w:val="1"/>
                <w:szCs w:val="21"/>
              </w:rPr>
            </w:pPr>
          </w:p>
        </w:tc>
      </w:tr>
      <w:tr>
        <w:tblPrEx>
          <w:tblLayout w:type="fixed"/>
          <w:tblCellMar>
            <w:top w:w="0" w:type="dxa"/>
            <w:left w:w="108" w:type="dxa"/>
            <w:bottom w:w="0" w:type="dxa"/>
            <w:right w:w="108" w:type="dxa"/>
          </w:tblCellMar>
        </w:tblPrEx>
        <w:trPr>
          <w:trHeight w:val="590" w:hRule="exact"/>
          <w:jc w:val="center"/>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质保期限</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590" w:hRule="exact"/>
          <w:jc w:val="center"/>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投标保证金</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见投标人须知前附表</w:t>
            </w:r>
          </w:p>
        </w:tc>
      </w:tr>
      <w:tr>
        <w:tblPrEx>
          <w:tblLayout w:type="fixed"/>
          <w:tblCellMar>
            <w:top w:w="0" w:type="dxa"/>
            <w:left w:w="108" w:type="dxa"/>
            <w:bottom w:w="0" w:type="dxa"/>
            <w:right w:w="108" w:type="dxa"/>
          </w:tblCellMar>
        </w:tblPrEx>
        <w:trPr>
          <w:trHeight w:val="682" w:hRule="exact"/>
          <w:jc w:val="center"/>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cs="宋体"/>
                <w:kern w:val="1"/>
                <w:szCs w:val="21"/>
              </w:rPr>
            </w:pPr>
          </w:p>
        </w:tc>
        <w:tc>
          <w:tcPr>
            <w:tcW w:w="2976"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投标内容</w:t>
            </w:r>
          </w:p>
        </w:tc>
        <w:tc>
          <w:tcPr>
            <w:tcW w:w="4890"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符合第五章采购内容及商务技术要求</w:t>
            </w:r>
          </w:p>
        </w:tc>
      </w:tr>
      <w:tr>
        <w:tblPrEx>
          <w:tblLayout w:type="fixed"/>
          <w:tblCellMar>
            <w:top w:w="0" w:type="dxa"/>
            <w:left w:w="108" w:type="dxa"/>
            <w:bottom w:w="0" w:type="dxa"/>
            <w:right w:w="108" w:type="dxa"/>
          </w:tblCellMar>
        </w:tblPrEx>
        <w:trPr>
          <w:trHeight w:val="788" w:hRule="exact"/>
          <w:jc w:val="center"/>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cs="宋体"/>
                <w:kern w:val="1"/>
                <w:szCs w:val="21"/>
              </w:rPr>
            </w:pPr>
          </w:p>
        </w:tc>
        <w:tc>
          <w:tcPr>
            <w:tcW w:w="2976" w:type="dxa"/>
            <w:tcBorders>
              <w:top w:val="single" w:color="auto" w:sz="4" w:space="0"/>
              <w:left w:val="single" w:color="auto" w:sz="4" w:space="0"/>
              <w:bottom w:val="single" w:color="auto" w:sz="4" w:space="0"/>
              <w:right w:val="single" w:color="auto"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投标报价</w:t>
            </w:r>
          </w:p>
        </w:tc>
        <w:tc>
          <w:tcPr>
            <w:tcW w:w="489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284"/>
              <w:jc w:val="center"/>
              <w:rPr>
                <w:rFonts w:ascii="宋体" w:cs="宋体"/>
                <w:kern w:val="1"/>
                <w:szCs w:val="21"/>
              </w:rPr>
            </w:pPr>
            <w:r>
              <w:rPr>
                <w:rFonts w:hint="eastAsia" w:ascii="宋体" w:hAnsi="宋体" w:cs="宋体"/>
                <w:kern w:val="1"/>
                <w:szCs w:val="21"/>
              </w:rPr>
              <w:t>投标报价不能超出投标最高限价</w:t>
            </w:r>
            <w:r>
              <w:rPr>
                <w:rFonts w:ascii="宋体" w:cs="宋体"/>
                <w:kern w:val="1"/>
                <w:szCs w:val="21"/>
              </w:rPr>
              <w:t>,</w:t>
            </w:r>
            <w:r>
              <w:rPr>
                <w:rFonts w:hint="eastAsia" w:ascii="宋体" w:hAnsi="宋体" w:cs="宋体"/>
                <w:kern w:val="1"/>
                <w:szCs w:val="21"/>
              </w:rPr>
              <w:t>超出最高限价按废标处理。</w:t>
            </w:r>
          </w:p>
        </w:tc>
      </w:tr>
    </w:tbl>
    <w:p>
      <w:pPr>
        <w:spacing w:line="360" w:lineRule="auto"/>
        <w:ind w:firstLine="420" w:firstLineChars="200"/>
        <w:rPr>
          <w:rFonts w:ascii="宋体" w:cs="宋体"/>
          <w:color w:val="000000"/>
          <w:kern w:val="1"/>
          <w:szCs w:val="21"/>
        </w:rPr>
      </w:pPr>
    </w:p>
    <w:p>
      <w:pPr>
        <w:spacing w:line="360" w:lineRule="auto"/>
        <w:ind w:firstLine="420" w:firstLineChars="200"/>
        <w:rPr>
          <w:rFonts w:ascii="宋体" w:cs="宋体"/>
          <w:color w:val="000000"/>
          <w:kern w:val="1"/>
          <w:szCs w:val="21"/>
        </w:rPr>
      </w:pPr>
      <w:r>
        <w:rPr>
          <w:rFonts w:hint="eastAsia" w:ascii="宋体" w:hAnsi="宋体" w:cs="宋体"/>
          <w:color w:val="000000"/>
          <w:kern w:val="1"/>
          <w:szCs w:val="21"/>
        </w:rPr>
        <w:t>注：所有投标人均在通过初步评审后才能进入综合打分环节。</w:t>
      </w:r>
    </w:p>
    <w:p>
      <w:pPr>
        <w:spacing w:line="360" w:lineRule="auto"/>
        <w:ind w:firstLine="420" w:firstLineChars="200"/>
        <w:rPr>
          <w:rFonts w:ascii="宋体" w:cs="宋体"/>
          <w:color w:val="000000"/>
          <w:kern w:val="1"/>
          <w:szCs w:val="21"/>
        </w:rPr>
      </w:pPr>
    </w:p>
    <w:p>
      <w:pPr>
        <w:spacing w:line="360" w:lineRule="auto"/>
        <w:ind w:firstLine="308" w:firstLineChars="147"/>
        <w:rPr>
          <w:rFonts w:ascii="宋体" w:cs="宋体"/>
          <w:color w:val="000000"/>
          <w:kern w:val="0"/>
          <w:szCs w:val="21"/>
        </w:rPr>
      </w:pPr>
      <w:r>
        <w:rPr>
          <w:rFonts w:ascii="宋体" w:hAnsi="宋体" w:cs="宋体"/>
          <w:color w:val="000000"/>
          <w:kern w:val="0"/>
          <w:szCs w:val="21"/>
        </w:rPr>
        <w:t>2</w:t>
      </w:r>
      <w:r>
        <w:rPr>
          <w:rFonts w:hint="eastAsia" w:ascii="宋体" w:hAnsi="宋体" w:cs="宋体"/>
          <w:color w:val="000000"/>
          <w:kern w:val="0"/>
          <w:szCs w:val="21"/>
        </w:rPr>
        <w:t>、本项目采用百分制，满分</w:t>
      </w:r>
      <w:r>
        <w:rPr>
          <w:rFonts w:ascii="宋体" w:hAnsi="宋体" w:cs="宋体"/>
          <w:color w:val="000000"/>
          <w:kern w:val="0"/>
          <w:szCs w:val="21"/>
        </w:rPr>
        <w:t>100</w:t>
      </w:r>
      <w:r>
        <w:rPr>
          <w:rFonts w:hint="eastAsia" w:ascii="宋体" w:hAnsi="宋体" w:cs="宋体"/>
          <w:color w:val="000000"/>
          <w:kern w:val="0"/>
          <w:szCs w:val="21"/>
        </w:rPr>
        <w:t>分。</w:t>
      </w:r>
    </w:p>
    <w:p>
      <w:pPr>
        <w:spacing w:line="360" w:lineRule="auto"/>
        <w:ind w:firstLine="420" w:firstLineChars="200"/>
        <w:rPr>
          <w:rFonts w:ascii="宋体" w:cs="宋体"/>
          <w:kern w:val="1"/>
          <w:szCs w:val="21"/>
        </w:rPr>
      </w:pPr>
      <w:r>
        <w:rPr>
          <w:rFonts w:hint="eastAsia" w:ascii="宋体" w:hAnsi="宋体" w:cs="宋体"/>
          <w:kern w:val="1"/>
          <w:szCs w:val="21"/>
        </w:rPr>
        <w:t>（投标报价</w:t>
      </w:r>
      <w:r>
        <w:rPr>
          <w:rFonts w:ascii="宋体" w:hAnsi="宋体" w:cs="宋体"/>
          <w:kern w:val="1"/>
          <w:szCs w:val="21"/>
        </w:rPr>
        <w:t>35</w:t>
      </w:r>
      <w:r>
        <w:rPr>
          <w:rFonts w:hint="eastAsia" w:ascii="宋体" w:hAnsi="宋体" w:cs="宋体"/>
          <w:kern w:val="1"/>
          <w:szCs w:val="21"/>
        </w:rPr>
        <w:t>分、技术部分</w:t>
      </w:r>
      <w:r>
        <w:rPr>
          <w:rFonts w:ascii="宋体" w:hAnsi="宋体" w:cs="宋体"/>
          <w:kern w:val="1"/>
          <w:szCs w:val="21"/>
        </w:rPr>
        <w:t>45</w:t>
      </w:r>
      <w:r>
        <w:rPr>
          <w:rFonts w:hint="eastAsia" w:ascii="宋体" w:hAnsi="宋体" w:cs="宋体"/>
          <w:kern w:val="1"/>
          <w:szCs w:val="21"/>
        </w:rPr>
        <w:t>分、商务部分</w:t>
      </w:r>
      <w:r>
        <w:rPr>
          <w:rFonts w:ascii="宋体" w:hAnsi="宋体" w:cs="宋体"/>
          <w:kern w:val="1"/>
          <w:szCs w:val="21"/>
        </w:rPr>
        <w:t>20</w:t>
      </w:r>
      <w:r>
        <w:rPr>
          <w:rFonts w:hint="eastAsia" w:ascii="宋体" w:hAnsi="宋体" w:cs="宋体"/>
          <w:kern w:val="1"/>
          <w:szCs w:val="21"/>
        </w:rPr>
        <w:t>分。共计</w:t>
      </w:r>
      <w:r>
        <w:rPr>
          <w:rFonts w:ascii="宋体" w:hAnsi="宋体" w:cs="宋体"/>
          <w:kern w:val="1"/>
          <w:szCs w:val="21"/>
        </w:rPr>
        <w:t>100</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hint="eastAsia" w:ascii="宋体" w:hAnsi="宋体" w:cs="宋体"/>
          <w:kern w:val="1"/>
          <w:szCs w:val="21"/>
        </w:rPr>
        <w:t>一、投标报价（</w:t>
      </w:r>
      <w:r>
        <w:rPr>
          <w:rFonts w:ascii="宋体" w:hAnsi="宋体" w:cs="宋体"/>
          <w:kern w:val="1"/>
          <w:szCs w:val="21"/>
        </w:rPr>
        <w:t>35</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hint="eastAsia" w:ascii="宋体" w:hAnsi="宋体" w:cs="宋体"/>
          <w:kern w:val="1"/>
          <w:szCs w:val="21"/>
        </w:rPr>
        <w:t>价格分统用综合评分计算，价格分计算公式：</w:t>
      </w:r>
    </w:p>
    <w:p>
      <w:pPr>
        <w:spacing w:line="480" w:lineRule="auto"/>
        <w:jc w:val="left"/>
        <w:rPr>
          <w:rFonts w:ascii="宋体" w:cs="宋体"/>
          <w:kern w:val="1"/>
          <w:szCs w:val="21"/>
        </w:rPr>
      </w:pPr>
      <w:r>
        <w:rPr>
          <w:rFonts w:hint="eastAsia" w:ascii="宋体" w:hAnsi="宋体" w:cs="宋体"/>
          <w:kern w:val="1"/>
          <w:szCs w:val="21"/>
        </w:rPr>
        <w:t>投标报价得分</w:t>
      </w:r>
      <w:r>
        <w:rPr>
          <w:rFonts w:ascii="宋体" w:hAnsi="宋体" w:cs="宋体"/>
          <w:kern w:val="1"/>
          <w:szCs w:val="21"/>
        </w:rPr>
        <w:t>=(</w:t>
      </w:r>
      <w:r>
        <w:rPr>
          <w:rFonts w:hint="eastAsia" w:ascii="宋体" w:hAnsi="宋体" w:cs="宋体"/>
          <w:kern w:val="1"/>
          <w:szCs w:val="21"/>
        </w:rPr>
        <w:t>评标基准价／投标报价</w:t>
      </w:r>
      <w:r>
        <w:rPr>
          <w:rFonts w:ascii="宋体" w:hAnsi="宋体" w:cs="宋体"/>
          <w:kern w:val="1"/>
          <w:szCs w:val="21"/>
        </w:rPr>
        <w:t>)</w:t>
      </w:r>
      <w:r>
        <w:rPr>
          <w:rFonts w:hint="eastAsia" w:ascii="宋体" w:hAnsi="宋体" w:cs="宋体"/>
          <w:kern w:val="1"/>
          <w:szCs w:val="21"/>
        </w:rPr>
        <w:t>×</w:t>
      </w:r>
      <w:r>
        <w:rPr>
          <w:rFonts w:ascii="宋体" w:hAnsi="宋体" w:cs="宋体"/>
          <w:kern w:val="1"/>
          <w:szCs w:val="21"/>
        </w:rPr>
        <w:t>35</w:t>
      </w:r>
    </w:p>
    <w:p>
      <w:pPr>
        <w:spacing w:line="360" w:lineRule="auto"/>
        <w:ind w:firstLine="420" w:firstLineChars="200"/>
        <w:rPr>
          <w:rFonts w:cs="Calibri"/>
          <w:kern w:val="1"/>
          <w:szCs w:val="21"/>
        </w:rPr>
      </w:pPr>
      <w:r>
        <w:rPr>
          <w:rFonts w:hint="eastAsia" w:cs="Calibri"/>
          <w:kern w:val="1"/>
          <w:szCs w:val="21"/>
        </w:rPr>
        <w:t>注：</w:t>
      </w:r>
      <w:r>
        <w:rPr>
          <w:rFonts w:cs="Calibri"/>
          <w:kern w:val="1"/>
          <w:szCs w:val="21"/>
        </w:rPr>
        <w:t xml:space="preserve"> </w:t>
      </w:r>
      <w:r>
        <w:rPr>
          <w:rFonts w:hint="eastAsia" w:cs="Calibri"/>
          <w:kern w:val="1"/>
          <w:szCs w:val="21"/>
        </w:rPr>
        <w:t>评标基准价</w:t>
      </w:r>
      <w:r>
        <w:rPr>
          <w:rFonts w:cs="Calibri"/>
          <w:kern w:val="1"/>
          <w:szCs w:val="21"/>
        </w:rPr>
        <w:t>=</w:t>
      </w:r>
      <w:r>
        <w:rPr>
          <w:rFonts w:hint="eastAsia" w:cs="Calibri"/>
          <w:kern w:val="1"/>
          <w:szCs w:val="21"/>
        </w:rPr>
        <w:t>即满足招标文件要求且投标价格最低的投标报价为评标基准价，其价格分为满分。</w:t>
      </w:r>
    </w:p>
    <w:p>
      <w:pPr>
        <w:spacing w:line="360" w:lineRule="auto"/>
        <w:ind w:firstLine="420" w:firstLineChars="200"/>
        <w:rPr>
          <w:rFonts w:ascii="宋体" w:cs="宋体"/>
          <w:kern w:val="1"/>
          <w:szCs w:val="21"/>
        </w:rPr>
      </w:pPr>
      <w:r>
        <w:rPr>
          <w:rFonts w:hint="eastAsia" w:ascii="宋体" w:hAnsi="宋体" w:cs="宋体"/>
          <w:kern w:val="1"/>
          <w:szCs w:val="21"/>
        </w:rPr>
        <w:t>二、技术部分</w:t>
      </w:r>
      <w:r>
        <w:rPr>
          <w:rFonts w:ascii="宋体" w:hAnsi="宋体" w:cs="宋体"/>
          <w:kern w:val="1"/>
          <w:szCs w:val="21"/>
        </w:rPr>
        <w:t>45</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1</w:t>
      </w:r>
      <w:r>
        <w:rPr>
          <w:rFonts w:hint="eastAsia" w:ascii="宋体" w:hAnsi="宋体" w:cs="宋体"/>
          <w:kern w:val="1"/>
          <w:szCs w:val="21"/>
        </w:rPr>
        <w:t>、投标货物技术参数功能要求</w:t>
      </w:r>
      <w:r>
        <w:rPr>
          <w:rFonts w:ascii="宋体" w:hAnsi="宋体" w:cs="宋体"/>
          <w:kern w:val="1"/>
          <w:szCs w:val="21"/>
        </w:rPr>
        <w:t>40</w:t>
      </w:r>
      <w:r>
        <w:rPr>
          <w:rFonts w:hint="eastAsia" w:ascii="宋体" w:hAnsi="宋体" w:cs="宋体"/>
          <w:kern w:val="1"/>
          <w:szCs w:val="21"/>
        </w:rPr>
        <w:t>分：评标委员会将根据招标文件要求投标人提供的主要设备技术证明文件，判断所投设备是否满足招标文件要求，若提供的货物技术证明文件与招标文件不一致时，又未提供制造生产厂家对所投配置给予确认说明的，则该条技术指标不满足。</w:t>
      </w:r>
    </w:p>
    <w:p>
      <w:pPr>
        <w:spacing w:line="360" w:lineRule="auto"/>
        <w:ind w:firstLine="420" w:firstLineChars="200"/>
        <w:rPr>
          <w:rFonts w:ascii="宋体" w:cs="宋体"/>
          <w:kern w:val="1"/>
          <w:szCs w:val="21"/>
        </w:rPr>
      </w:pPr>
      <w:r>
        <w:rPr>
          <w:rFonts w:ascii="宋体" w:hAnsi="宋体" w:cs="宋体"/>
          <w:kern w:val="1"/>
          <w:szCs w:val="21"/>
        </w:rPr>
        <w:t>a.</w:t>
      </w:r>
      <w:r>
        <w:rPr>
          <w:rFonts w:hint="eastAsia" w:ascii="宋体" w:hAnsi="宋体" w:cs="宋体"/>
          <w:kern w:val="1"/>
          <w:szCs w:val="21"/>
        </w:rPr>
        <w:t>完全满足招标文件技术要求的得</w:t>
      </w:r>
      <w:r>
        <w:rPr>
          <w:rFonts w:ascii="宋体" w:hAnsi="宋体" w:cs="宋体"/>
          <w:kern w:val="1"/>
          <w:szCs w:val="21"/>
        </w:rPr>
        <w:t>40</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b.</w:t>
      </w:r>
      <w:r>
        <w:rPr>
          <w:rFonts w:hint="eastAsia" w:ascii="宋体" w:hAnsi="宋体" w:cs="宋体"/>
          <w:kern w:val="1"/>
          <w:szCs w:val="21"/>
        </w:rPr>
        <w:t>投标货物的技术指标或功能每有一条“★”号指标或功能不满足的扣</w:t>
      </w:r>
      <w:r>
        <w:rPr>
          <w:rFonts w:ascii="宋体" w:hAnsi="宋体" w:cs="宋体"/>
          <w:kern w:val="1"/>
          <w:szCs w:val="21"/>
        </w:rPr>
        <w:t>4</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c.</w:t>
      </w:r>
      <w:r>
        <w:rPr>
          <w:rFonts w:hint="eastAsia" w:ascii="宋体" w:hAnsi="宋体" w:cs="宋体"/>
          <w:kern w:val="1"/>
          <w:szCs w:val="21"/>
        </w:rPr>
        <w:t>投标货物的技术指标或功能每有一条非“★”号指标或功能不满足扣</w:t>
      </w:r>
      <w:r>
        <w:rPr>
          <w:rFonts w:ascii="宋体" w:hAnsi="宋体" w:cs="宋体"/>
          <w:kern w:val="1"/>
          <w:szCs w:val="21"/>
        </w:rPr>
        <w:t>2</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2</w:t>
      </w:r>
      <w:r>
        <w:rPr>
          <w:rFonts w:hint="eastAsia" w:ascii="宋体" w:hAnsi="宋体" w:cs="宋体"/>
          <w:kern w:val="1"/>
          <w:szCs w:val="21"/>
        </w:rPr>
        <w:t>、产品技术总体评价</w:t>
      </w:r>
      <w:r>
        <w:rPr>
          <w:rFonts w:ascii="宋体" w:hAnsi="宋体" w:cs="宋体"/>
          <w:kern w:val="1"/>
          <w:szCs w:val="21"/>
        </w:rPr>
        <w:t>(5</w:t>
      </w:r>
      <w:r>
        <w:rPr>
          <w:rFonts w:hint="eastAsia" w:ascii="宋体" w:hAnsi="宋体" w:cs="宋体"/>
          <w:kern w:val="1"/>
          <w:szCs w:val="21"/>
        </w:rPr>
        <w:t>分</w:t>
      </w:r>
      <w:r>
        <w:rPr>
          <w:rFonts w:ascii="宋体" w:hAnsi="宋体" w:cs="宋体"/>
          <w:kern w:val="1"/>
          <w:szCs w:val="21"/>
        </w:rPr>
        <w:t>):</w:t>
      </w:r>
      <w:r>
        <w:rPr>
          <w:rFonts w:hint="eastAsia" w:ascii="宋体" w:hAnsi="宋体" w:cs="宋体"/>
          <w:kern w:val="1"/>
          <w:szCs w:val="21"/>
        </w:rPr>
        <w:t>评标委员会根据投标人所投产品的质量档次、产品兼容性、整体性能以及技术方案的合理性、科学性、成熟性、可扩展性、可理等方面进行整体评价，分三档进行打分：一档打分（</w:t>
      </w:r>
      <w:r>
        <w:rPr>
          <w:rFonts w:ascii="宋体" w:hAnsi="宋体" w:cs="宋体"/>
          <w:kern w:val="1"/>
          <w:szCs w:val="21"/>
        </w:rPr>
        <w:t>5</w:t>
      </w:r>
      <w:r>
        <w:rPr>
          <w:rFonts w:hint="eastAsia" w:ascii="宋体" w:hAnsi="宋体" w:cs="宋体"/>
          <w:kern w:val="1"/>
          <w:szCs w:val="21"/>
        </w:rPr>
        <w:t>分）；二档打分（</w:t>
      </w:r>
      <w:r>
        <w:rPr>
          <w:rFonts w:ascii="宋体" w:hAnsi="宋体" w:cs="宋体"/>
          <w:kern w:val="1"/>
          <w:szCs w:val="21"/>
        </w:rPr>
        <w:t>0-3</w:t>
      </w:r>
      <w:r>
        <w:rPr>
          <w:rFonts w:hint="eastAsia" w:ascii="宋体" w:hAnsi="宋体" w:cs="宋体"/>
          <w:kern w:val="1"/>
          <w:szCs w:val="21"/>
        </w:rPr>
        <w:t>分）；三档打分（</w:t>
      </w:r>
      <w:r>
        <w:rPr>
          <w:rFonts w:ascii="宋体" w:cs="宋体"/>
          <w:kern w:val="1"/>
          <w:szCs w:val="21"/>
        </w:rPr>
        <w:t>0</w:t>
      </w:r>
      <w:r>
        <w:rPr>
          <w:rFonts w:hint="eastAsia" w:ascii="宋体" w:hAnsi="宋体" w:cs="宋体"/>
          <w:kern w:val="1"/>
          <w:szCs w:val="21"/>
        </w:rPr>
        <w:t>～</w:t>
      </w:r>
      <w:r>
        <w:rPr>
          <w:rFonts w:ascii="宋体" w:hAnsi="宋体" w:cs="宋体"/>
          <w:kern w:val="1"/>
          <w:szCs w:val="21"/>
        </w:rPr>
        <w:t>1</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hint="eastAsia" w:ascii="宋体" w:hAnsi="宋体" w:cs="宋体"/>
          <w:kern w:val="1"/>
          <w:szCs w:val="21"/>
        </w:rPr>
        <w:t>三、商务部分</w:t>
      </w:r>
      <w:r>
        <w:rPr>
          <w:rFonts w:ascii="宋体" w:hAnsi="宋体" w:cs="宋体"/>
          <w:kern w:val="1"/>
          <w:szCs w:val="21"/>
        </w:rPr>
        <w:t>20</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1</w:t>
      </w:r>
      <w:r>
        <w:rPr>
          <w:rFonts w:hint="eastAsia" w:ascii="宋体" w:hAnsi="宋体" w:cs="宋体"/>
          <w:kern w:val="1"/>
          <w:szCs w:val="21"/>
        </w:rPr>
        <w:t>、核心产品厂商综合实力（</w:t>
      </w:r>
      <w:r>
        <w:rPr>
          <w:rFonts w:ascii="宋体" w:hAnsi="宋体" w:cs="宋体"/>
          <w:kern w:val="1"/>
          <w:szCs w:val="21"/>
        </w:rPr>
        <w:t>8</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1</w:t>
      </w:r>
      <w:r>
        <w:rPr>
          <w:rFonts w:hint="eastAsia" w:ascii="宋体" w:hAnsi="宋体" w:cs="宋体"/>
          <w:kern w:val="1"/>
          <w:szCs w:val="21"/>
        </w:rPr>
        <w:t>）、投标人所投核心产品的制造商获得中华人民共和国工商行政管理总局颁发的工商企业信用</w:t>
      </w:r>
      <w:r>
        <w:rPr>
          <w:rFonts w:ascii="宋体" w:hAnsi="宋体" w:cs="宋体"/>
          <w:kern w:val="1"/>
          <w:szCs w:val="21"/>
        </w:rPr>
        <w:t xml:space="preserve"> </w:t>
      </w:r>
      <w:r>
        <w:rPr>
          <w:rFonts w:hint="eastAsia" w:ascii="宋体" w:hAnsi="宋体" w:cs="宋体"/>
          <w:kern w:val="1"/>
          <w:szCs w:val="21"/>
        </w:rPr>
        <w:t>“守合同重信用单位”</w:t>
      </w:r>
      <w:r>
        <w:rPr>
          <w:rFonts w:ascii="宋体" w:hAnsi="宋体" w:cs="宋体"/>
          <w:kern w:val="1"/>
          <w:szCs w:val="21"/>
        </w:rPr>
        <w:t xml:space="preserve"> </w:t>
      </w:r>
      <w:r>
        <w:rPr>
          <w:rFonts w:hint="eastAsia" w:ascii="宋体" w:hAnsi="宋体" w:cs="宋体"/>
          <w:kern w:val="1"/>
          <w:szCs w:val="21"/>
        </w:rPr>
        <w:t>的得</w:t>
      </w:r>
      <w:r>
        <w:rPr>
          <w:rFonts w:ascii="宋体" w:hAnsi="宋体" w:cs="宋体"/>
          <w:kern w:val="1"/>
          <w:szCs w:val="21"/>
        </w:rPr>
        <w:t>3</w:t>
      </w:r>
      <w:r>
        <w:rPr>
          <w:rFonts w:hint="eastAsia" w:ascii="宋体" w:hAnsi="宋体" w:cs="宋体"/>
          <w:kern w:val="1"/>
          <w:szCs w:val="21"/>
        </w:rPr>
        <w:t>分。（投标时提供有效证明材料复印件并加盖原厂商公章）</w:t>
      </w:r>
    </w:p>
    <w:p>
      <w:pPr>
        <w:spacing w:line="360" w:lineRule="auto"/>
        <w:ind w:firstLine="420" w:firstLineChars="200"/>
        <w:rPr>
          <w:rFonts w:ascii="宋体" w:cs="宋体"/>
          <w:kern w:val="1"/>
          <w:szCs w:val="21"/>
        </w:rPr>
      </w:pPr>
      <w:r>
        <w:rPr>
          <w:rFonts w:ascii="宋体" w:hAnsi="宋体" w:cs="宋体"/>
          <w:kern w:val="1"/>
          <w:szCs w:val="21"/>
        </w:rPr>
        <w:t>2</w:t>
      </w:r>
      <w:r>
        <w:rPr>
          <w:rFonts w:hint="eastAsia" w:ascii="宋体" w:hAnsi="宋体" w:cs="宋体"/>
          <w:kern w:val="1"/>
          <w:szCs w:val="21"/>
        </w:rPr>
        <w:t>）、投标人选用的核心产品的制造商应具有雄厚的技术实力，供应商所投核心产品的制造商获得由国务院颁发的国家级科技类奖的得</w:t>
      </w:r>
      <w:r>
        <w:rPr>
          <w:rFonts w:ascii="宋体" w:hAnsi="宋体" w:cs="宋体"/>
          <w:kern w:val="1"/>
          <w:szCs w:val="21"/>
        </w:rPr>
        <w:t>3</w:t>
      </w:r>
      <w:r>
        <w:rPr>
          <w:rFonts w:hint="eastAsia" w:ascii="宋体" w:hAnsi="宋体" w:cs="宋体"/>
          <w:kern w:val="1"/>
          <w:szCs w:val="21"/>
        </w:rPr>
        <w:t>分。（投标时提供有效证明材料复印件并加盖原厂商公章）</w:t>
      </w:r>
    </w:p>
    <w:p>
      <w:pPr>
        <w:spacing w:line="360" w:lineRule="auto"/>
        <w:ind w:firstLine="420" w:firstLineChars="200"/>
        <w:rPr>
          <w:rFonts w:ascii="宋体" w:cs="宋体"/>
          <w:kern w:val="1"/>
          <w:szCs w:val="21"/>
        </w:rPr>
      </w:pPr>
      <w:r>
        <w:rPr>
          <w:rFonts w:ascii="宋体" w:hAnsi="宋体" w:cs="宋体"/>
          <w:kern w:val="1"/>
          <w:szCs w:val="21"/>
        </w:rPr>
        <w:t>3</w:t>
      </w:r>
      <w:r>
        <w:rPr>
          <w:rFonts w:hint="eastAsia" w:ascii="宋体" w:hAnsi="宋体" w:cs="宋体"/>
          <w:kern w:val="1"/>
          <w:szCs w:val="21"/>
        </w:rPr>
        <w:t>）、投标人所投核心产品的制造商获得由省级以上政府部门颁发的管理创新示范企业认证证书的得</w:t>
      </w:r>
      <w:r>
        <w:rPr>
          <w:rFonts w:ascii="宋体" w:hAnsi="宋体" w:cs="宋体"/>
          <w:kern w:val="1"/>
          <w:szCs w:val="21"/>
        </w:rPr>
        <w:t>2</w:t>
      </w:r>
      <w:r>
        <w:rPr>
          <w:rFonts w:hint="eastAsia" w:ascii="宋体" w:hAnsi="宋体" w:cs="宋体"/>
          <w:kern w:val="1"/>
          <w:szCs w:val="21"/>
        </w:rPr>
        <w:t>分。（投标时提供有效证明材料复印件并加盖原厂商公章）。</w:t>
      </w:r>
    </w:p>
    <w:p>
      <w:pPr>
        <w:spacing w:line="360" w:lineRule="auto"/>
        <w:ind w:firstLine="420" w:firstLineChars="200"/>
        <w:rPr>
          <w:rFonts w:ascii="宋体" w:cs="宋体"/>
          <w:kern w:val="1"/>
          <w:szCs w:val="21"/>
        </w:rPr>
      </w:pPr>
      <w:r>
        <w:rPr>
          <w:rFonts w:ascii="宋体" w:hAnsi="宋体" w:cs="宋体"/>
          <w:kern w:val="1"/>
          <w:szCs w:val="21"/>
        </w:rPr>
        <w:t>2</w:t>
      </w:r>
      <w:r>
        <w:rPr>
          <w:rFonts w:hint="eastAsia" w:ascii="宋体" w:hAnsi="宋体" w:cs="宋体"/>
          <w:kern w:val="1"/>
          <w:szCs w:val="21"/>
        </w:rPr>
        <w:t>、售后服务及承诺（</w:t>
      </w:r>
      <w:r>
        <w:rPr>
          <w:rFonts w:ascii="宋体" w:hAnsi="宋体" w:cs="宋体"/>
          <w:kern w:val="1"/>
          <w:szCs w:val="21"/>
        </w:rPr>
        <w:t>9</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 xml:space="preserve">a. </w:t>
      </w:r>
      <w:r>
        <w:rPr>
          <w:rFonts w:hint="eastAsia" w:ascii="宋体" w:hAnsi="宋体" w:cs="宋体"/>
          <w:kern w:val="1"/>
          <w:szCs w:val="21"/>
        </w:rPr>
        <w:t>投标人须列表说明名称、地址、联系人、联系方式等，并保证</w:t>
      </w:r>
      <w:r>
        <w:rPr>
          <w:rFonts w:ascii="宋体" w:hAnsi="宋体" w:cs="宋体"/>
          <w:kern w:val="1"/>
          <w:szCs w:val="21"/>
        </w:rPr>
        <w:t>2</w:t>
      </w:r>
      <w:r>
        <w:rPr>
          <w:rFonts w:hint="eastAsia" w:ascii="宋体" w:hAnsi="宋体" w:cs="宋体"/>
          <w:kern w:val="1"/>
          <w:szCs w:val="21"/>
        </w:rPr>
        <w:t>小时内响应，</w:t>
      </w:r>
      <w:r>
        <w:rPr>
          <w:rFonts w:ascii="宋体" w:hAnsi="宋体" w:cs="宋体"/>
          <w:kern w:val="1"/>
          <w:szCs w:val="21"/>
        </w:rPr>
        <w:t>24</w:t>
      </w:r>
      <w:r>
        <w:rPr>
          <w:rFonts w:hint="eastAsia" w:ascii="宋体" w:hAnsi="宋体" w:cs="宋体"/>
          <w:kern w:val="1"/>
          <w:szCs w:val="21"/>
        </w:rPr>
        <w:t>小时内解决问题。无法在规定时间内解决问题的需说明原因，并提供必要的后备设备或解决方案。（</w:t>
      </w:r>
      <w:r>
        <w:rPr>
          <w:rFonts w:ascii="宋体" w:hAnsi="宋体" w:cs="宋体"/>
          <w:kern w:val="1"/>
          <w:szCs w:val="21"/>
        </w:rPr>
        <w:t>0-3</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 xml:space="preserve">b. </w:t>
      </w:r>
      <w:r>
        <w:rPr>
          <w:rFonts w:hint="eastAsia" w:ascii="宋体" w:hAnsi="宋体" w:cs="宋体"/>
          <w:kern w:val="1"/>
          <w:szCs w:val="21"/>
        </w:rPr>
        <w:t>投标人须提出详细的培训计划（包括安装调试和项目技术培训），所需费用包含在投标报价中。（</w:t>
      </w:r>
      <w:r>
        <w:rPr>
          <w:rFonts w:ascii="宋体" w:hAnsi="宋体" w:cs="宋体"/>
          <w:kern w:val="1"/>
          <w:szCs w:val="21"/>
        </w:rPr>
        <w:t>0-3</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ascii="宋体" w:hAnsi="宋体" w:cs="宋体"/>
          <w:kern w:val="1"/>
          <w:szCs w:val="21"/>
        </w:rPr>
        <w:t>C.</w:t>
      </w:r>
      <w:r>
        <w:rPr>
          <w:rFonts w:hint="eastAsia" w:ascii="宋体" w:hAnsi="宋体" w:cs="宋体"/>
          <w:kern w:val="1"/>
          <w:szCs w:val="21"/>
        </w:rPr>
        <w:t>投标人应提供优惠及其它有利于招标人的承诺，对比各投标人的响应情况，在</w:t>
      </w:r>
      <w:r>
        <w:rPr>
          <w:rFonts w:ascii="宋体" w:hAnsi="宋体" w:cs="宋体"/>
          <w:kern w:val="1"/>
          <w:szCs w:val="21"/>
        </w:rPr>
        <w:t>0-3</w:t>
      </w:r>
      <w:r>
        <w:rPr>
          <w:rFonts w:hint="eastAsia" w:ascii="宋体" w:hAnsi="宋体" w:cs="宋体"/>
          <w:kern w:val="1"/>
          <w:szCs w:val="21"/>
        </w:rPr>
        <w:t>分范围内酌情打分。</w:t>
      </w:r>
    </w:p>
    <w:p>
      <w:pPr>
        <w:spacing w:line="360" w:lineRule="auto"/>
        <w:ind w:firstLine="420" w:firstLineChars="200"/>
        <w:rPr>
          <w:rFonts w:ascii="宋体" w:cs="宋体"/>
          <w:kern w:val="1"/>
          <w:szCs w:val="21"/>
        </w:rPr>
      </w:pPr>
      <w:r>
        <w:rPr>
          <w:rFonts w:ascii="宋体" w:hAnsi="宋体" w:cs="宋体"/>
          <w:kern w:val="1"/>
          <w:szCs w:val="21"/>
        </w:rPr>
        <w:t>3</w:t>
      </w:r>
      <w:r>
        <w:rPr>
          <w:rFonts w:hint="eastAsia" w:ascii="宋体" w:hAnsi="宋体" w:cs="宋体"/>
          <w:kern w:val="1"/>
          <w:szCs w:val="21"/>
        </w:rPr>
        <w:t>、按时供货保障措施（</w:t>
      </w:r>
      <w:r>
        <w:rPr>
          <w:rFonts w:ascii="宋体" w:hAnsi="宋体" w:cs="宋体"/>
          <w:kern w:val="1"/>
          <w:szCs w:val="21"/>
        </w:rPr>
        <w:t>3</w:t>
      </w:r>
      <w:r>
        <w:rPr>
          <w:rFonts w:hint="eastAsia" w:ascii="宋体" w:hAnsi="宋体" w:cs="宋体"/>
          <w:kern w:val="1"/>
          <w:szCs w:val="21"/>
        </w:rPr>
        <w:t>分）</w:t>
      </w:r>
    </w:p>
    <w:p>
      <w:pPr>
        <w:spacing w:line="360" w:lineRule="auto"/>
        <w:ind w:firstLine="420" w:firstLineChars="200"/>
        <w:rPr>
          <w:rFonts w:ascii="宋体" w:cs="宋体"/>
          <w:kern w:val="1"/>
          <w:szCs w:val="21"/>
        </w:rPr>
      </w:pPr>
      <w:r>
        <w:rPr>
          <w:rFonts w:hint="eastAsia" w:ascii="宋体" w:hAnsi="宋体" w:cs="宋体"/>
          <w:kern w:val="1"/>
          <w:szCs w:val="21"/>
        </w:rPr>
        <w:t>投标人提供保证按时供货安装的详细措施及具体实施方案，对比各投标人响应情况，在</w:t>
      </w:r>
      <w:r>
        <w:rPr>
          <w:rFonts w:ascii="宋体" w:hAnsi="宋体" w:cs="宋体"/>
          <w:kern w:val="1"/>
          <w:szCs w:val="21"/>
        </w:rPr>
        <w:t>0-3</w:t>
      </w:r>
      <w:r>
        <w:rPr>
          <w:rFonts w:hint="eastAsia" w:ascii="宋体" w:hAnsi="宋体" w:cs="宋体"/>
          <w:kern w:val="1"/>
          <w:szCs w:val="21"/>
        </w:rPr>
        <w:t>分范围内酌情打分。</w:t>
      </w:r>
    </w:p>
    <w:p>
      <w:pPr>
        <w:numPr>
          <w:ilvl w:val="0"/>
          <w:numId w:val="1"/>
        </w:numPr>
        <w:spacing w:line="360" w:lineRule="auto"/>
        <w:ind w:firstLine="420" w:firstLineChars="200"/>
        <w:rPr>
          <w:rFonts w:ascii="宋体" w:cs="宋体"/>
          <w:kern w:val="1"/>
          <w:szCs w:val="21"/>
        </w:rPr>
      </w:pPr>
      <w:r>
        <w:rPr>
          <w:rFonts w:hint="eastAsia" w:ascii="宋体" w:hAnsi="宋体" w:cs="宋体"/>
          <w:kern w:val="1"/>
          <w:szCs w:val="21"/>
        </w:rPr>
        <w:t>中标标准：</w:t>
      </w:r>
    </w:p>
    <w:p>
      <w:pPr>
        <w:spacing w:line="360" w:lineRule="auto"/>
        <w:ind w:firstLine="420" w:firstLineChars="200"/>
        <w:rPr>
          <w:rFonts w:ascii="宋体" w:cs="宋体"/>
          <w:kern w:val="1"/>
          <w:szCs w:val="21"/>
        </w:rPr>
      </w:pPr>
      <w:r>
        <w:rPr>
          <w:rFonts w:hint="eastAsia" w:ascii="宋体" w:hAnsi="宋体" w:cs="宋体"/>
          <w:kern w:val="1"/>
          <w:szCs w:val="21"/>
        </w:rPr>
        <w:t>各投标人最终综合得分为所有评委各项打分的总和的算术平均值，评标委员会推荐综合得分最高的投标人作为中标候选人。</w:t>
      </w:r>
    </w:p>
    <w:p>
      <w:pPr>
        <w:spacing w:line="360" w:lineRule="auto"/>
        <w:ind w:firstLine="420" w:firstLineChars="200"/>
        <w:rPr>
          <w:rFonts w:ascii="宋体" w:cs="宋体"/>
          <w:kern w:val="1"/>
          <w:szCs w:val="21"/>
        </w:rPr>
      </w:pPr>
      <w:r>
        <w:rPr>
          <w:rFonts w:hint="eastAsia" w:ascii="宋体" w:hAnsi="宋体" w:cs="宋体"/>
          <w:kern w:val="1"/>
          <w:szCs w:val="21"/>
        </w:rPr>
        <w:t>计算过程四舍五入保留小数点后</w:t>
      </w:r>
      <w:r>
        <w:rPr>
          <w:rFonts w:ascii="宋体" w:hAnsi="宋体" w:cs="宋体"/>
          <w:kern w:val="1"/>
          <w:szCs w:val="21"/>
        </w:rPr>
        <w:t>3</w:t>
      </w:r>
      <w:r>
        <w:rPr>
          <w:rFonts w:hint="eastAsia" w:ascii="宋体" w:hAnsi="宋体" w:cs="宋体"/>
          <w:kern w:val="1"/>
          <w:szCs w:val="21"/>
        </w:rPr>
        <w:t>位，结果按四舍五入保留小数点后</w:t>
      </w:r>
      <w:r>
        <w:rPr>
          <w:rFonts w:ascii="宋体" w:hAnsi="宋体" w:cs="宋体"/>
          <w:kern w:val="1"/>
          <w:szCs w:val="21"/>
        </w:rPr>
        <w:t>2</w:t>
      </w:r>
      <w:r>
        <w:rPr>
          <w:rFonts w:hint="eastAsia" w:ascii="宋体" w:hAnsi="宋体" w:cs="宋体"/>
          <w:kern w:val="1"/>
          <w:szCs w:val="21"/>
        </w:rPr>
        <w:t>位。</w:t>
      </w:r>
    </w:p>
    <w:p>
      <w:pPr>
        <w:spacing w:line="360" w:lineRule="auto"/>
        <w:ind w:firstLine="422" w:firstLineChars="200"/>
        <w:rPr>
          <w:rFonts w:ascii="宋体" w:cs="宋体"/>
          <w:kern w:val="1"/>
          <w:szCs w:val="21"/>
        </w:rPr>
      </w:pPr>
      <w:r>
        <w:rPr>
          <w:rFonts w:hint="eastAsia" w:ascii="宋体" w:hAnsi="宋体"/>
          <w:b/>
          <w:szCs w:val="21"/>
        </w:rPr>
        <w:t>”</w:t>
      </w:r>
      <w:r>
        <w:rPr>
          <w:rFonts w:ascii="宋体" w:hAnsi="宋体" w:cs="Arial"/>
          <w:b/>
          <w:bCs/>
          <w:kern w:val="0"/>
          <w:szCs w:val="21"/>
        </w:rPr>
        <w:t xml:space="preserve"> </w:t>
      </w:r>
    </w:p>
    <w:p>
      <w:pPr>
        <w:widowControl/>
        <w:shd w:val="clear" w:color="auto" w:fill="FFFFFF"/>
        <w:spacing w:line="456" w:lineRule="auto"/>
        <w:jc w:val="left"/>
        <w:rPr>
          <w:rFonts w:ascii="宋体" w:cs="Arial"/>
          <w:b/>
          <w:bCs/>
          <w:color w:val="333333"/>
          <w:kern w:val="0"/>
          <w:sz w:val="36"/>
          <w:szCs w:val="36"/>
        </w:rPr>
      </w:pPr>
      <w:r>
        <w:rPr>
          <w:rFonts w:hint="eastAsia" w:ascii="宋体" w:hAnsi="宋体" w:cs="Arial"/>
          <w:b/>
          <w:bCs/>
          <w:color w:val="333333"/>
          <w:kern w:val="0"/>
          <w:sz w:val="36"/>
          <w:szCs w:val="36"/>
        </w:rPr>
        <w:t>现变更为：</w:t>
      </w:r>
    </w:p>
    <w:p>
      <w:pPr>
        <w:widowControl/>
        <w:shd w:val="clear" w:color="auto" w:fill="FFFFFF"/>
        <w:spacing w:line="456" w:lineRule="auto"/>
        <w:jc w:val="center"/>
        <w:rPr>
          <w:rFonts w:ascii="宋体" w:cs="Arial"/>
          <w:b/>
          <w:bCs/>
          <w:color w:val="333333"/>
          <w:kern w:val="0"/>
          <w:sz w:val="32"/>
          <w:szCs w:val="32"/>
        </w:rPr>
      </w:pPr>
      <w:r>
        <w:rPr>
          <w:rFonts w:hint="eastAsia" w:ascii="宋体" w:hAnsi="宋体"/>
          <w:sz w:val="32"/>
          <w:szCs w:val="32"/>
        </w:rPr>
        <w:t>第三章</w:t>
      </w:r>
      <w:r>
        <w:rPr>
          <w:rFonts w:ascii="宋体" w:hAnsi="宋体"/>
          <w:sz w:val="32"/>
          <w:szCs w:val="32"/>
        </w:rPr>
        <w:t xml:space="preserve">  </w:t>
      </w:r>
      <w:r>
        <w:rPr>
          <w:rFonts w:hint="eastAsia" w:ascii="宋体" w:hAnsi="宋体"/>
          <w:sz w:val="32"/>
          <w:szCs w:val="32"/>
        </w:rPr>
        <w:t>评标办法</w:t>
      </w:r>
    </w:p>
    <w:p>
      <w:pPr>
        <w:spacing w:line="360" w:lineRule="auto"/>
        <w:ind w:firstLine="482" w:firstLineChars="200"/>
        <w:jc w:val="left"/>
        <w:rPr>
          <w:rFonts w:ascii="宋体" w:cs="宋体"/>
          <w:b/>
          <w:color w:val="000000"/>
          <w:kern w:val="0"/>
          <w:sz w:val="24"/>
          <w:szCs w:val="24"/>
        </w:rPr>
      </w:pPr>
      <w:r>
        <w:rPr>
          <w:rFonts w:hint="eastAsia" w:ascii="宋体" w:hAnsi="宋体" w:cs="宋体"/>
          <w:b/>
          <w:color w:val="000000"/>
          <w:kern w:val="0"/>
          <w:sz w:val="24"/>
          <w:szCs w:val="24"/>
        </w:rPr>
        <w:t>核心产品的确定及同一品牌的认定：</w:t>
      </w:r>
    </w:p>
    <w:p>
      <w:pPr>
        <w:spacing w:line="360" w:lineRule="auto"/>
        <w:ind w:firstLine="480" w:firstLineChars="200"/>
        <w:jc w:val="left"/>
        <w:rPr>
          <w:rFonts w:ascii="宋体" w:cs="宋体"/>
          <w:b/>
          <w:color w:val="000000"/>
          <w:kern w:val="0"/>
          <w:sz w:val="24"/>
          <w:szCs w:val="24"/>
        </w:rPr>
      </w:pPr>
      <w:r>
        <w:rPr>
          <w:rFonts w:hint="eastAsia" w:ascii="宋体" w:hAnsi="宋体" w:cs="宋体"/>
          <w:color w:val="000000"/>
          <w:kern w:val="0"/>
          <w:sz w:val="24"/>
          <w:szCs w:val="24"/>
        </w:rPr>
        <w:t>依据项目占比及技术复杂性，本次项目核心产品为：</w:t>
      </w:r>
      <w:r>
        <w:rPr>
          <w:rFonts w:hint="eastAsia" w:ascii="宋体" w:hAnsi="宋体" w:cs="宋体"/>
          <w:b/>
          <w:color w:val="000000"/>
          <w:kern w:val="0"/>
          <w:sz w:val="24"/>
          <w:szCs w:val="24"/>
        </w:rPr>
        <w:t>住培生教学管理系统。</w:t>
      </w:r>
    </w:p>
    <w:p>
      <w:pPr>
        <w:spacing w:line="360" w:lineRule="auto"/>
        <w:ind w:firstLine="480" w:firstLineChars="200"/>
        <w:jc w:val="left"/>
        <w:rPr>
          <w:rFonts w:ascii="宋体" w:cs="宋体"/>
          <w:color w:val="000000"/>
          <w:kern w:val="0"/>
          <w:sz w:val="24"/>
          <w:szCs w:val="24"/>
        </w:rPr>
      </w:pPr>
      <w:r>
        <w:rPr>
          <w:rFonts w:hint="eastAsia" w:ascii="宋体" w:hAnsi="宋体" w:cs="宋体"/>
          <w:color w:val="000000"/>
          <w:kern w:val="0"/>
          <w:sz w:val="24"/>
          <w:szCs w:val="24"/>
        </w:rPr>
        <w:t>依据中华人民共和国财政部令第</w:t>
      </w:r>
      <w:r>
        <w:rPr>
          <w:rFonts w:ascii="宋体" w:hAnsi="宋体" w:cs="宋体"/>
          <w:color w:val="000000"/>
          <w:kern w:val="0"/>
          <w:sz w:val="24"/>
          <w:szCs w:val="24"/>
        </w:rPr>
        <w:t>87</w:t>
      </w:r>
      <w:r>
        <w:rPr>
          <w:rFonts w:hint="eastAsia" w:ascii="宋体" w:hAnsi="宋体" w:cs="宋体"/>
          <w:color w:val="000000"/>
          <w:kern w:val="0"/>
          <w:sz w:val="24"/>
          <w:szCs w:val="24"/>
        </w:rPr>
        <w:t>号令《政府采购货物和服务采购投标管理办法》第三十一条要求。不同供应商所投核心产品对应品牌完全相同且通过形式评审标准、资格评审标准、响应性评审标准的，将按照一家供应商计算。详细评审后得分最高的同品牌供应商获得中标人推荐资格；评审得分相同的，按照除价格分外得分最高（技术</w:t>
      </w:r>
      <w:r>
        <w:rPr>
          <w:rFonts w:ascii="宋体" w:hAnsi="宋体" w:cs="宋体"/>
          <w:color w:val="000000"/>
          <w:kern w:val="0"/>
          <w:sz w:val="24"/>
          <w:szCs w:val="24"/>
        </w:rPr>
        <w:t>+</w:t>
      </w:r>
      <w:r>
        <w:rPr>
          <w:rFonts w:hint="eastAsia" w:ascii="宋体" w:hAnsi="宋体" w:cs="宋体"/>
          <w:color w:val="000000"/>
          <w:kern w:val="0"/>
          <w:sz w:val="24"/>
          <w:szCs w:val="24"/>
        </w:rPr>
        <w:t>综合）的同品牌供应商获得中标人推荐资格，其他同品牌供应商不作为中标候选人。</w:t>
      </w:r>
    </w:p>
    <w:p>
      <w:pPr>
        <w:keepNext/>
        <w:keepLines/>
        <w:spacing w:before="260" w:after="260" w:line="400" w:lineRule="exact"/>
        <w:ind w:left="210" w:right="210"/>
        <w:outlineLvl w:val="1"/>
        <w:rPr>
          <w:rFonts w:ascii="宋体" w:hAnsi="宋体" w:eastAsia="黑体" w:cs="Arial"/>
          <w:b/>
          <w:color w:val="000000"/>
          <w:kern w:val="0"/>
          <w:sz w:val="32"/>
          <w:szCs w:val="32"/>
        </w:rPr>
      </w:pPr>
      <w:r>
        <w:rPr>
          <w:rFonts w:hint="eastAsia" w:ascii="宋体" w:hAnsi="宋体" w:eastAsia="黑体" w:cs="Arial"/>
          <w:b/>
          <w:color w:val="000000"/>
          <w:kern w:val="0"/>
          <w:sz w:val="32"/>
          <w:szCs w:val="32"/>
        </w:rPr>
        <w:t>评标办法前附表</w:t>
      </w:r>
    </w:p>
    <w:tbl>
      <w:tblPr>
        <w:tblStyle w:val="7"/>
        <w:tblW w:w="9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483"/>
        <w:gridCol w:w="1707"/>
        <w:gridCol w:w="1881"/>
        <w:gridCol w:w="4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3215" w:type="dxa"/>
            <w:gridSpan w:val="3"/>
            <w:vAlign w:val="center"/>
          </w:tcPr>
          <w:p>
            <w:pPr>
              <w:jc w:val="center"/>
              <w:rPr>
                <w:rFonts w:ascii="宋体" w:cs="宋体"/>
                <w:b/>
                <w:color w:val="000000"/>
                <w:kern w:val="0"/>
                <w:szCs w:val="24"/>
              </w:rPr>
            </w:pPr>
            <w:r>
              <w:rPr>
                <w:rFonts w:hint="eastAsia" w:ascii="宋体" w:hAnsi="宋体" w:cs="宋体"/>
                <w:b/>
                <w:color w:val="000000"/>
                <w:kern w:val="0"/>
                <w:szCs w:val="21"/>
              </w:rPr>
              <w:t>条款号</w:t>
            </w:r>
          </w:p>
        </w:tc>
        <w:tc>
          <w:tcPr>
            <w:tcW w:w="1881" w:type="dxa"/>
            <w:vAlign w:val="center"/>
          </w:tcPr>
          <w:p>
            <w:pPr>
              <w:jc w:val="center"/>
              <w:rPr>
                <w:rFonts w:ascii="宋体" w:cs="宋体"/>
                <w:b/>
                <w:color w:val="000000"/>
                <w:kern w:val="0"/>
                <w:szCs w:val="24"/>
              </w:rPr>
            </w:pPr>
            <w:r>
              <w:rPr>
                <w:rFonts w:hint="eastAsia" w:ascii="宋体" w:hAnsi="宋体" w:cs="宋体"/>
                <w:b/>
                <w:color w:val="000000"/>
                <w:kern w:val="0"/>
                <w:szCs w:val="21"/>
              </w:rPr>
              <w:t>评审因素</w:t>
            </w:r>
          </w:p>
        </w:tc>
        <w:tc>
          <w:tcPr>
            <w:tcW w:w="4664" w:type="dxa"/>
            <w:vAlign w:val="center"/>
          </w:tcPr>
          <w:p>
            <w:pPr>
              <w:jc w:val="center"/>
              <w:rPr>
                <w:rFonts w:ascii="宋体" w:cs="宋体"/>
                <w:b/>
                <w:color w:val="000000"/>
                <w:kern w:val="0"/>
                <w:szCs w:val="24"/>
              </w:rPr>
            </w:pPr>
            <w:r>
              <w:rPr>
                <w:rFonts w:hint="eastAsia" w:ascii="宋体" w:hAnsi="宋体" w:cs="宋体"/>
                <w:b/>
                <w:color w:val="000000"/>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9" w:hRule="atLeast"/>
          <w:jc w:val="center"/>
        </w:trPr>
        <w:tc>
          <w:tcPr>
            <w:tcW w:w="1025" w:type="dxa"/>
            <w:vMerge w:val="restart"/>
            <w:vAlign w:val="center"/>
          </w:tcPr>
          <w:p>
            <w:pPr>
              <w:jc w:val="center"/>
              <w:rPr>
                <w:rFonts w:ascii="宋体" w:cs="宋体"/>
                <w:color w:val="000000"/>
                <w:kern w:val="0"/>
                <w:szCs w:val="24"/>
              </w:rPr>
            </w:pPr>
            <w:r>
              <w:rPr>
                <w:rFonts w:hint="eastAsia" w:ascii="宋体" w:hAnsi="宋体" w:cs="宋体"/>
                <w:color w:val="000000"/>
                <w:kern w:val="0"/>
                <w:szCs w:val="24"/>
              </w:rPr>
              <w:t>初步评审</w:t>
            </w:r>
          </w:p>
        </w:tc>
        <w:tc>
          <w:tcPr>
            <w:tcW w:w="483" w:type="dxa"/>
            <w:vMerge w:val="restart"/>
            <w:vAlign w:val="center"/>
          </w:tcPr>
          <w:p>
            <w:pPr>
              <w:jc w:val="center"/>
              <w:rPr>
                <w:rFonts w:ascii="宋体" w:cs="宋体"/>
                <w:color w:val="000000"/>
                <w:kern w:val="0"/>
                <w:szCs w:val="24"/>
              </w:rPr>
            </w:pPr>
            <w:r>
              <w:rPr>
                <w:rFonts w:ascii="宋体" w:hAnsi="宋体" w:cs="宋体"/>
                <w:color w:val="000000"/>
                <w:kern w:val="0"/>
                <w:szCs w:val="24"/>
              </w:rPr>
              <w:t>1</w:t>
            </w:r>
          </w:p>
        </w:tc>
        <w:tc>
          <w:tcPr>
            <w:tcW w:w="1707" w:type="dxa"/>
            <w:vMerge w:val="restart"/>
            <w:vAlign w:val="center"/>
          </w:tcPr>
          <w:p>
            <w:pPr>
              <w:jc w:val="center"/>
              <w:rPr>
                <w:rFonts w:ascii="宋体" w:cs="宋体"/>
                <w:color w:val="000000"/>
                <w:kern w:val="0"/>
                <w:szCs w:val="24"/>
              </w:rPr>
            </w:pPr>
            <w:r>
              <w:rPr>
                <w:rFonts w:hint="eastAsia" w:ascii="宋体" w:hAnsi="宋体" w:cs="宋体"/>
                <w:color w:val="000000"/>
                <w:kern w:val="0"/>
                <w:szCs w:val="21"/>
              </w:rPr>
              <w:t>形式评审标准</w:t>
            </w: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投标人名称</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与营业执照一致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025" w:type="dxa"/>
            <w:vMerge w:val="continue"/>
          </w:tcPr>
          <w:p>
            <w:pPr>
              <w:jc w:val="center"/>
              <w:rPr>
                <w:rFonts w:ascii="宋体" w:cs="宋体"/>
                <w:color w:val="000000"/>
                <w:kern w:val="0"/>
                <w:szCs w:val="24"/>
              </w:rPr>
            </w:pPr>
          </w:p>
        </w:tc>
        <w:tc>
          <w:tcPr>
            <w:tcW w:w="483" w:type="dxa"/>
            <w:vMerge w:val="continue"/>
          </w:tcPr>
          <w:p>
            <w:pPr>
              <w:jc w:val="center"/>
              <w:rPr>
                <w:rFonts w:ascii="宋体" w:cs="宋体"/>
                <w:color w:val="000000"/>
                <w:kern w:val="0"/>
                <w:szCs w:val="24"/>
              </w:rPr>
            </w:pPr>
          </w:p>
        </w:tc>
        <w:tc>
          <w:tcPr>
            <w:tcW w:w="1707" w:type="dxa"/>
            <w:vMerge w:val="continue"/>
          </w:tcPr>
          <w:p>
            <w:pPr>
              <w:jc w:val="center"/>
              <w:rPr>
                <w:rFonts w:ascii="宋体" w:cs="宋体"/>
                <w:color w:val="000000"/>
                <w:kern w:val="0"/>
                <w:szCs w:val="21"/>
              </w:rPr>
            </w:pP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投标函签字盖章</w:t>
            </w:r>
          </w:p>
        </w:tc>
        <w:tc>
          <w:tcPr>
            <w:tcW w:w="4664" w:type="dxa"/>
            <w:vAlign w:val="center"/>
          </w:tcPr>
          <w:p>
            <w:pPr>
              <w:jc w:val="center"/>
              <w:rPr>
                <w:rFonts w:ascii="宋体" w:cs="宋体"/>
                <w:color w:val="000000"/>
                <w:kern w:val="0"/>
                <w:szCs w:val="24"/>
              </w:rPr>
            </w:pPr>
            <w:r>
              <w:rPr>
                <w:rFonts w:hint="eastAsia" w:ascii="宋体" w:hAnsi="宋体" w:cs="宋体"/>
                <w:kern w:val="1"/>
                <w:szCs w:val="21"/>
              </w:rPr>
              <w:t>见投标人须知前附表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025" w:type="dxa"/>
            <w:vMerge w:val="continue"/>
          </w:tcPr>
          <w:p>
            <w:pPr>
              <w:jc w:val="center"/>
              <w:rPr>
                <w:rFonts w:ascii="宋体" w:cs="宋体"/>
                <w:color w:val="000000"/>
                <w:kern w:val="0"/>
                <w:szCs w:val="24"/>
              </w:rPr>
            </w:pPr>
          </w:p>
        </w:tc>
        <w:tc>
          <w:tcPr>
            <w:tcW w:w="483" w:type="dxa"/>
            <w:vMerge w:val="continue"/>
          </w:tcPr>
          <w:p>
            <w:pPr>
              <w:jc w:val="center"/>
              <w:rPr>
                <w:rFonts w:ascii="宋体" w:cs="宋体"/>
                <w:color w:val="000000"/>
                <w:kern w:val="0"/>
                <w:szCs w:val="24"/>
              </w:rPr>
            </w:pPr>
          </w:p>
        </w:tc>
        <w:tc>
          <w:tcPr>
            <w:tcW w:w="1707" w:type="dxa"/>
            <w:vMerge w:val="continue"/>
          </w:tcPr>
          <w:p>
            <w:pPr>
              <w:jc w:val="center"/>
              <w:rPr>
                <w:rFonts w:ascii="宋体" w:cs="宋体"/>
                <w:color w:val="000000"/>
                <w:kern w:val="0"/>
                <w:szCs w:val="21"/>
              </w:rPr>
            </w:pP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投标文件格式</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符合第六章“投标文件格式”的要求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025" w:type="dxa"/>
            <w:vMerge w:val="continue"/>
          </w:tcPr>
          <w:p>
            <w:pPr>
              <w:jc w:val="center"/>
              <w:rPr>
                <w:rFonts w:ascii="宋体" w:cs="宋体"/>
                <w:color w:val="000000"/>
                <w:kern w:val="0"/>
                <w:szCs w:val="24"/>
              </w:rPr>
            </w:pPr>
          </w:p>
        </w:tc>
        <w:tc>
          <w:tcPr>
            <w:tcW w:w="483" w:type="dxa"/>
            <w:vMerge w:val="continue"/>
          </w:tcPr>
          <w:p>
            <w:pPr>
              <w:jc w:val="center"/>
              <w:rPr>
                <w:rFonts w:ascii="宋体" w:cs="宋体"/>
                <w:color w:val="000000"/>
                <w:kern w:val="0"/>
                <w:szCs w:val="24"/>
              </w:rPr>
            </w:pPr>
          </w:p>
        </w:tc>
        <w:tc>
          <w:tcPr>
            <w:tcW w:w="1707" w:type="dxa"/>
            <w:vMerge w:val="continue"/>
          </w:tcPr>
          <w:p>
            <w:pPr>
              <w:jc w:val="center"/>
              <w:rPr>
                <w:rFonts w:ascii="宋体" w:cs="宋体"/>
                <w:color w:val="000000"/>
                <w:kern w:val="0"/>
                <w:szCs w:val="21"/>
              </w:rPr>
            </w:pP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报价唯一</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1025" w:type="dxa"/>
            <w:vMerge w:val="continue"/>
            <w:vAlign w:val="center"/>
          </w:tcPr>
          <w:p>
            <w:pPr>
              <w:jc w:val="center"/>
              <w:rPr>
                <w:rFonts w:ascii="宋体" w:cs="宋体"/>
                <w:color w:val="000000"/>
                <w:kern w:val="0"/>
                <w:szCs w:val="24"/>
              </w:rPr>
            </w:pPr>
          </w:p>
        </w:tc>
        <w:tc>
          <w:tcPr>
            <w:tcW w:w="483" w:type="dxa"/>
            <w:vMerge w:val="restart"/>
            <w:vAlign w:val="center"/>
          </w:tcPr>
          <w:p>
            <w:pPr>
              <w:jc w:val="center"/>
              <w:rPr>
                <w:rFonts w:ascii="宋体" w:cs="宋体"/>
                <w:color w:val="000000"/>
                <w:kern w:val="0"/>
                <w:szCs w:val="24"/>
              </w:rPr>
            </w:pPr>
            <w:r>
              <w:rPr>
                <w:rFonts w:ascii="宋体" w:hAnsi="宋体" w:cs="宋体"/>
                <w:color w:val="000000"/>
                <w:kern w:val="0"/>
                <w:szCs w:val="24"/>
              </w:rPr>
              <w:t>2</w:t>
            </w:r>
          </w:p>
        </w:tc>
        <w:tc>
          <w:tcPr>
            <w:tcW w:w="1707" w:type="dxa"/>
            <w:vMerge w:val="restart"/>
            <w:vAlign w:val="center"/>
          </w:tcPr>
          <w:p>
            <w:pPr>
              <w:spacing w:line="360" w:lineRule="auto"/>
              <w:jc w:val="center"/>
              <w:rPr>
                <w:rFonts w:ascii="宋体" w:cs="宋体"/>
                <w:color w:val="000000"/>
                <w:kern w:val="0"/>
                <w:szCs w:val="21"/>
              </w:rPr>
            </w:pPr>
            <w:r>
              <w:rPr>
                <w:rFonts w:hint="eastAsia" w:ascii="宋体" w:hAnsi="宋体" w:cs="宋体"/>
                <w:color w:val="000000"/>
                <w:kern w:val="0"/>
                <w:szCs w:val="21"/>
              </w:rPr>
              <w:t>资格评审标准</w:t>
            </w:r>
          </w:p>
          <w:p>
            <w:pPr>
              <w:spacing w:line="360" w:lineRule="auto"/>
              <w:jc w:val="center"/>
              <w:rPr>
                <w:rFonts w:ascii="宋体" w:cs="宋体"/>
                <w:color w:val="000000"/>
                <w:kern w:val="0"/>
                <w:szCs w:val="24"/>
              </w:rPr>
            </w:pPr>
          </w:p>
        </w:tc>
        <w:tc>
          <w:tcPr>
            <w:tcW w:w="1881" w:type="dxa"/>
            <w:vAlign w:val="center"/>
          </w:tcPr>
          <w:p>
            <w:pPr>
              <w:jc w:val="center"/>
              <w:rPr>
                <w:rFonts w:ascii="宋体" w:cs="宋体"/>
                <w:color w:val="000000"/>
                <w:kern w:val="0"/>
                <w:szCs w:val="21"/>
              </w:rPr>
            </w:pPr>
            <w:r>
              <w:rPr>
                <w:rFonts w:hint="eastAsia" w:ascii="宋体" w:hAnsi="宋体" w:cs="宋体"/>
                <w:color w:val="000000"/>
                <w:kern w:val="0"/>
                <w:szCs w:val="21"/>
              </w:rPr>
              <w:t>营业执照</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Align w:val="center"/>
          </w:tcPr>
          <w:p>
            <w:pPr>
              <w:jc w:val="center"/>
              <w:rPr>
                <w:rFonts w:ascii="宋体" w:cs="宋体"/>
                <w:color w:val="000000"/>
                <w:kern w:val="0"/>
                <w:szCs w:val="21"/>
              </w:rPr>
            </w:pPr>
            <w:r>
              <w:rPr>
                <w:rFonts w:hint="eastAsia" w:ascii="宋体" w:hAnsi="宋体" w:cs="宋体"/>
                <w:color w:val="000000"/>
                <w:kern w:val="0"/>
                <w:szCs w:val="21"/>
              </w:rPr>
              <w:t>税务登记证</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具备有效的</w:t>
            </w:r>
            <w:r>
              <w:rPr>
                <w:rFonts w:hint="eastAsia" w:ascii="宋体" w:hAnsi="宋体" w:cs="宋体"/>
                <w:color w:val="000000"/>
                <w:kern w:val="0"/>
                <w:szCs w:val="21"/>
              </w:rPr>
              <w:t>税务登记证（三证合一不提供）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Align w:val="center"/>
          </w:tcPr>
          <w:p>
            <w:pPr>
              <w:jc w:val="center"/>
              <w:rPr>
                <w:rFonts w:ascii="宋体" w:cs="宋体"/>
                <w:color w:val="000000"/>
                <w:kern w:val="0"/>
                <w:szCs w:val="21"/>
              </w:rPr>
            </w:pPr>
            <w:r>
              <w:rPr>
                <w:rFonts w:hint="eastAsia" w:ascii="宋体" w:hAnsi="宋体" w:cs="宋体"/>
                <w:color w:val="000000"/>
                <w:kern w:val="0"/>
                <w:szCs w:val="21"/>
              </w:rPr>
              <w:t>组织机构代码证</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具备有效的</w:t>
            </w:r>
            <w:r>
              <w:rPr>
                <w:rFonts w:hint="eastAsia" w:ascii="宋体" w:hAnsi="宋体" w:cs="宋体"/>
                <w:color w:val="000000"/>
                <w:kern w:val="0"/>
                <w:szCs w:val="21"/>
              </w:rPr>
              <w:t>组织机构代码证（三证合一不提供）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Merge w:val="restart"/>
            <w:vAlign w:val="center"/>
          </w:tcPr>
          <w:p>
            <w:pPr>
              <w:jc w:val="center"/>
              <w:rPr>
                <w:rFonts w:ascii="宋体" w:cs="宋体"/>
                <w:color w:val="000000"/>
                <w:kern w:val="0"/>
                <w:szCs w:val="21"/>
              </w:rPr>
            </w:pPr>
            <w:r>
              <w:rPr>
                <w:rFonts w:hint="eastAsia"/>
                <w:color w:val="000000"/>
                <w:kern w:val="0"/>
                <w:szCs w:val="24"/>
                <w:lang w:val="zh-TW"/>
              </w:rPr>
              <w:t>资质要求</w:t>
            </w:r>
          </w:p>
        </w:tc>
        <w:tc>
          <w:tcPr>
            <w:tcW w:w="4664" w:type="dxa"/>
            <w:vAlign w:val="center"/>
          </w:tcPr>
          <w:p>
            <w:pPr>
              <w:jc w:val="left"/>
              <w:rPr>
                <w:rFonts w:ascii="宋体" w:cs="宋体"/>
                <w:color w:val="000000"/>
                <w:kern w:val="0"/>
                <w:szCs w:val="24"/>
              </w:rPr>
            </w:pPr>
            <w:r>
              <w:rPr>
                <w:rFonts w:hint="eastAsia" w:ascii="宋体" w:hAnsi="宋体" w:cs="宋体"/>
                <w:color w:val="000000"/>
                <w:kern w:val="0"/>
                <w:szCs w:val="24"/>
              </w:rPr>
              <w:t>符合《中华人民共和国政府采购法》第二十二条规定，具有独立法人资格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Merge w:val="continue"/>
            <w:vAlign w:val="center"/>
          </w:tcPr>
          <w:p>
            <w:pPr>
              <w:jc w:val="center"/>
              <w:rPr>
                <w:rFonts w:ascii="宋体" w:cs="宋体"/>
                <w:color w:val="000000"/>
                <w:kern w:val="0"/>
                <w:szCs w:val="21"/>
                <w:lang w:val="zh-TW"/>
              </w:rPr>
            </w:pPr>
          </w:p>
        </w:tc>
        <w:tc>
          <w:tcPr>
            <w:tcW w:w="4664" w:type="dxa"/>
            <w:vAlign w:val="center"/>
          </w:tcPr>
          <w:p>
            <w:pPr>
              <w:jc w:val="left"/>
              <w:rPr>
                <w:rFonts w:ascii="宋体" w:cs="宋体"/>
                <w:color w:val="000000"/>
                <w:kern w:val="0"/>
                <w:szCs w:val="24"/>
                <w:lang w:val="zh-TW"/>
              </w:rPr>
            </w:pPr>
            <w:r>
              <w:rPr>
                <w:rFonts w:hint="eastAsia" w:ascii="宋体" w:hAnsi="宋体" w:cs="宋体"/>
                <w:color w:val="000000"/>
                <w:kern w:val="0"/>
                <w:szCs w:val="24"/>
                <w:lang w:val="zh-TW"/>
              </w:rPr>
              <w:t>投标人必须是在中国境内依法注册，具有独立法人资格的合法单位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Merge w:val="continue"/>
            <w:vAlign w:val="center"/>
          </w:tcPr>
          <w:p>
            <w:pPr>
              <w:jc w:val="center"/>
              <w:rPr>
                <w:rFonts w:ascii="宋体"/>
                <w:color w:val="000000"/>
                <w:kern w:val="0"/>
                <w:sz w:val="24"/>
                <w:szCs w:val="24"/>
              </w:rPr>
            </w:pPr>
          </w:p>
        </w:tc>
        <w:tc>
          <w:tcPr>
            <w:tcW w:w="4664" w:type="dxa"/>
            <w:vAlign w:val="center"/>
          </w:tcPr>
          <w:p>
            <w:pPr>
              <w:spacing w:line="360" w:lineRule="exact"/>
              <w:jc w:val="left"/>
              <w:rPr>
                <w:rFonts w:ascii="宋体" w:cs="宋体"/>
                <w:color w:val="000000"/>
                <w:kern w:val="0"/>
                <w:szCs w:val="24"/>
              </w:rPr>
            </w:pPr>
            <w:r>
              <w:rPr>
                <w:rFonts w:hint="eastAsia" w:ascii="宋体" w:hAnsi="宋体" w:cs="宋体"/>
                <w:color w:val="000000"/>
                <w:kern w:val="0"/>
                <w:szCs w:val="24"/>
                <w:lang w:val="zh-TW"/>
              </w:rPr>
              <w:t>在法律和财务方面独立，并与招标人无隶属联系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Merge w:val="continue"/>
            <w:vAlign w:val="center"/>
          </w:tcPr>
          <w:p>
            <w:pPr>
              <w:jc w:val="center"/>
              <w:rPr>
                <w:color w:val="000000"/>
                <w:kern w:val="0"/>
                <w:szCs w:val="24"/>
                <w:lang w:val="zh-TW"/>
              </w:rPr>
            </w:pPr>
          </w:p>
        </w:tc>
        <w:tc>
          <w:tcPr>
            <w:tcW w:w="4664" w:type="dxa"/>
            <w:vAlign w:val="center"/>
          </w:tcPr>
          <w:p>
            <w:pPr>
              <w:spacing w:line="360" w:lineRule="exact"/>
              <w:jc w:val="left"/>
              <w:rPr>
                <w:rFonts w:ascii="宋体" w:cs="宋体"/>
                <w:color w:val="000000"/>
                <w:kern w:val="0"/>
                <w:szCs w:val="24"/>
                <w:lang w:val="zh-TW"/>
              </w:rPr>
            </w:pPr>
            <w:r>
              <w:rPr>
                <w:rFonts w:hint="eastAsia" w:ascii="宋体" w:hAnsi="宋体" w:cs="宋体"/>
                <w:color w:val="000000"/>
                <w:kern w:val="0"/>
                <w:szCs w:val="24"/>
                <w:lang w:val="zh-TW"/>
              </w:rPr>
              <w:t>投标人具有履行合同所必须的设备和专业技术能力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1" w:hRule="atLeast"/>
          <w:jc w:val="center"/>
        </w:trPr>
        <w:tc>
          <w:tcPr>
            <w:tcW w:w="1025" w:type="dxa"/>
            <w:vMerge w:val="continue"/>
            <w:vAlign w:val="center"/>
          </w:tcPr>
          <w:p>
            <w:pPr>
              <w:jc w:val="center"/>
              <w:rPr>
                <w:rFonts w:ascii="宋体" w:cs="宋体"/>
                <w:color w:val="000000"/>
                <w:kern w:val="0"/>
                <w:szCs w:val="24"/>
              </w:rPr>
            </w:pPr>
          </w:p>
        </w:tc>
        <w:tc>
          <w:tcPr>
            <w:tcW w:w="483" w:type="dxa"/>
            <w:vMerge w:val="continue"/>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Align w:val="center"/>
          </w:tcPr>
          <w:p>
            <w:pPr>
              <w:jc w:val="center"/>
              <w:rPr>
                <w:rFonts w:ascii="宋体" w:cs="宋体"/>
                <w:color w:val="000000"/>
                <w:kern w:val="0"/>
                <w:szCs w:val="21"/>
                <w:lang w:val="zh-TW" w:eastAsia="zh-TW"/>
              </w:rPr>
            </w:pPr>
            <w:r>
              <w:rPr>
                <w:rFonts w:hint="eastAsia" w:ascii="宋体" w:hAnsi="宋体"/>
                <w:color w:val="000000"/>
                <w:kern w:val="0"/>
                <w:szCs w:val="21"/>
              </w:rPr>
              <w:t>信用截图</w:t>
            </w:r>
          </w:p>
        </w:tc>
        <w:tc>
          <w:tcPr>
            <w:tcW w:w="4664" w:type="dxa"/>
            <w:vAlign w:val="center"/>
          </w:tcPr>
          <w:p>
            <w:pPr>
              <w:spacing w:line="360" w:lineRule="auto"/>
              <w:rPr>
                <w:rFonts w:ascii="宋体" w:cs="宋体"/>
                <w:color w:val="000000"/>
                <w:kern w:val="0"/>
                <w:szCs w:val="21"/>
                <w:lang w:val="zh-TW" w:eastAsia="zh-TW"/>
              </w:rPr>
            </w:pPr>
            <w:r>
              <w:rPr>
                <w:rFonts w:hint="eastAsia" w:ascii="宋体" w:hAnsi="宋体" w:cs="楷体"/>
                <w:color w:val="000000"/>
                <w:kern w:val="0"/>
                <w:szCs w:val="21"/>
              </w:rPr>
              <w:t>根据《财政部关于在政府采购活动中查询及使用信用记录有关问题的通知》（财库</w:t>
            </w:r>
            <w:r>
              <w:rPr>
                <w:rFonts w:ascii="宋体" w:hAnsi="宋体" w:cs="楷体"/>
                <w:color w:val="000000"/>
                <w:kern w:val="0"/>
                <w:szCs w:val="21"/>
              </w:rPr>
              <w:t>[2016]125</w:t>
            </w:r>
            <w:r>
              <w:rPr>
                <w:rFonts w:hint="eastAsia" w:ascii="宋体" w:hAnsi="宋体" w:cs="楷体"/>
                <w:color w:val="000000"/>
                <w:kern w:val="0"/>
                <w:szCs w:val="21"/>
              </w:rPr>
              <w:t>号）规定，将对潜在供应商进行信用记录查询，对列入失信被执行人、重大税收违法案件当事人名单、政府采购严重违法失信行为记录名单、企业经营异常名录的供应商，拒绝其参与政府采购活动。（查询网站为“信用中国”网站《</w:t>
            </w:r>
            <w:r>
              <w:rPr>
                <w:rFonts w:ascii="宋体" w:hAnsi="宋体" w:cs="楷体"/>
                <w:color w:val="000000"/>
                <w:kern w:val="0"/>
                <w:szCs w:val="21"/>
              </w:rPr>
              <w:t>www.creditchina.gov.cn</w:t>
            </w:r>
            <w:r>
              <w:rPr>
                <w:rFonts w:hint="eastAsia" w:ascii="宋体" w:hAnsi="宋体" w:cs="楷体"/>
                <w:color w:val="000000"/>
                <w:kern w:val="0"/>
                <w:szCs w:val="21"/>
              </w:rPr>
              <w:t>》、中国政府采购网《</w:t>
            </w:r>
            <w:r>
              <w:rPr>
                <w:rFonts w:ascii="宋体" w:hAnsi="宋体" w:cs="楷体"/>
                <w:color w:val="000000"/>
                <w:kern w:val="0"/>
                <w:szCs w:val="21"/>
              </w:rPr>
              <w:t>www.ccgp.gov.cn</w:t>
            </w:r>
            <w:r>
              <w:rPr>
                <w:rFonts w:hint="eastAsia" w:ascii="宋体" w:hAnsi="宋体" w:cs="楷体"/>
                <w:color w:val="000000"/>
                <w:kern w:val="0"/>
                <w:szCs w:val="21"/>
              </w:rPr>
              <w:t>》），供应商提供查询截图。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025" w:type="dxa"/>
            <w:vMerge w:val="continue"/>
            <w:vAlign w:val="center"/>
          </w:tcPr>
          <w:p>
            <w:pPr>
              <w:jc w:val="center"/>
              <w:rPr>
                <w:rFonts w:ascii="宋体" w:cs="宋体"/>
                <w:color w:val="000000"/>
                <w:kern w:val="0"/>
                <w:szCs w:val="24"/>
              </w:rPr>
            </w:pPr>
          </w:p>
        </w:tc>
        <w:tc>
          <w:tcPr>
            <w:tcW w:w="483" w:type="dxa"/>
            <w:vAlign w:val="center"/>
          </w:tcPr>
          <w:p>
            <w:pPr>
              <w:jc w:val="center"/>
              <w:rPr>
                <w:rFonts w:ascii="宋体" w:cs="宋体"/>
                <w:color w:val="000000"/>
                <w:kern w:val="0"/>
                <w:szCs w:val="24"/>
              </w:rPr>
            </w:pPr>
          </w:p>
        </w:tc>
        <w:tc>
          <w:tcPr>
            <w:tcW w:w="1707" w:type="dxa"/>
            <w:vMerge w:val="continue"/>
            <w:vAlign w:val="center"/>
          </w:tcPr>
          <w:p>
            <w:pPr>
              <w:spacing w:line="360" w:lineRule="auto"/>
              <w:jc w:val="center"/>
              <w:rPr>
                <w:rFonts w:ascii="宋体" w:cs="宋体"/>
                <w:color w:val="000000"/>
                <w:kern w:val="0"/>
                <w:szCs w:val="21"/>
              </w:rPr>
            </w:pPr>
          </w:p>
        </w:tc>
        <w:tc>
          <w:tcPr>
            <w:tcW w:w="1881" w:type="dxa"/>
            <w:vAlign w:val="center"/>
          </w:tcPr>
          <w:p>
            <w:pPr>
              <w:jc w:val="center"/>
              <w:rPr>
                <w:rFonts w:ascii="宋体"/>
                <w:color w:val="000000"/>
                <w:kern w:val="0"/>
                <w:szCs w:val="21"/>
              </w:rPr>
            </w:pPr>
            <w:r>
              <w:rPr>
                <w:rFonts w:hint="eastAsia" w:ascii="宋体" w:hAnsi="宋体" w:cs="宋体"/>
                <w:color w:val="000000"/>
                <w:kern w:val="0"/>
                <w:szCs w:val="21"/>
              </w:rPr>
              <w:t>其他要求</w:t>
            </w:r>
          </w:p>
        </w:tc>
        <w:tc>
          <w:tcPr>
            <w:tcW w:w="4664" w:type="dxa"/>
            <w:vAlign w:val="center"/>
          </w:tcPr>
          <w:p>
            <w:pPr>
              <w:spacing w:line="360" w:lineRule="auto"/>
              <w:rPr>
                <w:rFonts w:ascii="宋体" w:cs="楷体"/>
                <w:color w:val="000000"/>
                <w:kern w:val="0"/>
                <w:szCs w:val="21"/>
                <w:lang w:val="zh-TW"/>
              </w:rPr>
            </w:pPr>
            <w:r>
              <w:rPr>
                <w:rFonts w:hint="eastAsia" w:ascii="宋体" w:hAnsi="宋体" w:cs="宋体"/>
                <w:color w:val="000000"/>
                <w:kern w:val="0"/>
                <w:szCs w:val="21"/>
              </w:rPr>
              <w:t>符合第二部分“</w:t>
            </w:r>
            <w:r>
              <w:rPr>
                <w:rFonts w:hint="eastAsia" w:ascii="宋体" w:hAnsi="宋体" w:cs="宋体"/>
                <w:color w:val="000000"/>
                <w:kern w:val="0"/>
                <w:szCs w:val="24"/>
              </w:rPr>
              <w:t>投标人</w:t>
            </w:r>
            <w:r>
              <w:rPr>
                <w:rFonts w:hint="eastAsia" w:ascii="宋体" w:hAnsi="宋体" w:cs="宋体"/>
                <w:color w:val="000000"/>
                <w:kern w:val="0"/>
                <w:szCs w:val="21"/>
              </w:rPr>
              <w:t>须知前附表”的要求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025" w:type="dxa"/>
            <w:vMerge w:val="continue"/>
            <w:vAlign w:val="center"/>
          </w:tcPr>
          <w:p>
            <w:pPr>
              <w:rPr>
                <w:rFonts w:ascii="宋体" w:cs="宋体"/>
                <w:color w:val="000000"/>
                <w:kern w:val="0"/>
                <w:szCs w:val="24"/>
              </w:rPr>
            </w:pPr>
          </w:p>
        </w:tc>
        <w:tc>
          <w:tcPr>
            <w:tcW w:w="483" w:type="dxa"/>
            <w:vMerge w:val="restart"/>
            <w:vAlign w:val="center"/>
          </w:tcPr>
          <w:p>
            <w:pPr>
              <w:rPr>
                <w:rFonts w:ascii="宋体" w:cs="宋体"/>
                <w:color w:val="000000"/>
                <w:kern w:val="0"/>
                <w:szCs w:val="24"/>
              </w:rPr>
            </w:pPr>
            <w:r>
              <w:rPr>
                <w:rFonts w:ascii="宋体" w:hAnsi="宋体" w:cs="宋体"/>
                <w:color w:val="000000"/>
                <w:kern w:val="0"/>
                <w:szCs w:val="24"/>
              </w:rPr>
              <w:t>3</w:t>
            </w:r>
          </w:p>
        </w:tc>
        <w:tc>
          <w:tcPr>
            <w:tcW w:w="1707" w:type="dxa"/>
            <w:vMerge w:val="restart"/>
            <w:vAlign w:val="center"/>
          </w:tcPr>
          <w:p>
            <w:pPr>
              <w:spacing w:line="360" w:lineRule="auto"/>
              <w:rPr>
                <w:rFonts w:ascii="宋体" w:cs="宋体"/>
                <w:color w:val="000000"/>
                <w:kern w:val="0"/>
                <w:szCs w:val="21"/>
              </w:rPr>
            </w:pPr>
            <w:r>
              <w:rPr>
                <w:rFonts w:hint="eastAsia" w:ascii="宋体" w:hAnsi="宋体" w:cs="宋体"/>
                <w:color w:val="000000"/>
                <w:kern w:val="0"/>
                <w:szCs w:val="21"/>
              </w:rPr>
              <w:t>响应性评审标准</w:t>
            </w: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投标内容</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符合第二章“投标人须知前附表”规定。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1025" w:type="dxa"/>
            <w:vMerge w:val="continue"/>
          </w:tcPr>
          <w:p>
            <w:pPr>
              <w:rPr>
                <w:rFonts w:ascii="宋体" w:cs="宋体"/>
                <w:color w:val="000000"/>
                <w:kern w:val="0"/>
                <w:szCs w:val="24"/>
              </w:rPr>
            </w:pPr>
          </w:p>
        </w:tc>
        <w:tc>
          <w:tcPr>
            <w:tcW w:w="483" w:type="dxa"/>
            <w:vMerge w:val="continue"/>
          </w:tcPr>
          <w:p>
            <w:pPr>
              <w:rPr>
                <w:rFonts w:ascii="宋体" w:cs="宋体"/>
                <w:color w:val="000000"/>
                <w:kern w:val="0"/>
                <w:szCs w:val="24"/>
              </w:rPr>
            </w:pPr>
          </w:p>
        </w:tc>
        <w:tc>
          <w:tcPr>
            <w:tcW w:w="1707" w:type="dxa"/>
            <w:vMerge w:val="continue"/>
          </w:tcPr>
          <w:p>
            <w:pPr>
              <w:rPr>
                <w:rFonts w:ascii="宋体" w:cs="宋体"/>
                <w:color w:val="000000"/>
                <w:kern w:val="0"/>
                <w:szCs w:val="24"/>
              </w:rPr>
            </w:pP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投标有效期</w:t>
            </w:r>
          </w:p>
        </w:tc>
        <w:tc>
          <w:tcPr>
            <w:tcW w:w="4664" w:type="dxa"/>
            <w:vAlign w:val="center"/>
          </w:tcPr>
          <w:p>
            <w:pPr>
              <w:tabs>
                <w:tab w:val="left" w:pos="4516"/>
              </w:tabs>
              <w:jc w:val="center"/>
              <w:rPr>
                <w:rFonts w:ascii="宋体" w:cs="宋体"/>
                <w:color w:val="000000"/>
                <w:kern w:val="0"/>
                <w:szCs w:val="24"/>
              </w:rPr>
            </w:pPr>
            <w:r>
              <w:rPr>
                <w:rFonts w:hint="eastAsia" w:ascii="宋体" w:hAnsi="宋体" w:cs="宋体"/>
                <w:color w:val="000000"/>
                <w:kern w:val="0"/>
                <w:szCs w:val="24"/>
              </w:rPr>
              <w:t>自投标截止日起</w:t>
            </w:r>
            <w:r>
              <w:rPr>
                <w:rFonts w:ascii="宋体" w:hAnsi="宋体" w:cs="宋体"/>
                <w:color w:val="000000"/>
                <w:kern w:val="0"/>
                <w:szCs w:val="24"/>
                <w:u w:val="single"/>
              </w:rPr>
              <w:t xml:space="preserve">  60 </w:t>
            </w:r>
            <w:r>
              <w:rPr>
                <w:rFonts w:hint="eastAsia" w:ascii="宋体" w:hAnsi="宋体" w:cs="宋体"/>
                <w:color w:val="000000"/>
                <w:kern w:val="0"/>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jc w:val="center"/>
        </w:trPr>
        <w:tc>
          <w:tcPr>
            <w:tcW w:w="1025" w:type="dxa"/>
            <w:vMerge w:val="continue"/>
          </w:tcPr>
          <w:p>
            <w:pPr>
              <w:rPr>
                <w:rFonts w:ascii="宋体" w:cs="宋体"/>
                <w:color w:val="000000"/>
                <w:kern w:val="0"/>
                <w:szCs w:val="24"/>
              </w:rPr>
            </w:pPr>
          </w:p>
        </w:tc>
        <w:tc>
          <w:tcPr>
            <w:tcW w:w="483" w:type="dxa"/>
            <w:vMerge w:val="continue"/>
          </w:tcPr>
          <w:p>
            <w:pPr>
              <w:rPr>
                <w:rFonts w:ascii="宋体" w:cs="宋体"/>
                <w:color w:val="000000"/>
                <w:kern w:val="0"/>
                <w:szCs w:val="24"/>
              </w:rPr>
            </w:pPr>
          </w:p>
        </w:tc>
        <w:tc>
          <w:tcPr>
            <w:tcW w:w="1707" w:type="dxa"/>
            <w:vMerge w:val="continue"/>
          </w:tcPr>
          <w:p>
            <w:pPr>
              <w:rPr>
                <w:rFonts w:ascii="宋体" w:cs="宋体"/>
                <w:color w:val="000000"/>
                <w:kern w:val="0"/>
                <w:szCs w:val="24"/>
              </w:rPr>
            </w:pP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投标保证金</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符合第二章“投标人须知前附表”规定。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1025" w:type="dxa"/>
            <w:vMerge w:val="continue"/>
          </w:tcPr>
          <w:p>
            <w:pPr>
              <w:rPr>
                <w:rFonts w:ascii="宋体" w:cs="宋体"/>
                <w:color w:val="000000"/>
                <w:kern w:val="0"/>
                <w:szCs w:val="24"/>
              </w:rPr>
            </w:pPr>
          </w:p>
        </w:tc>
        <w:tc>
          <w:tcPr>
            <w:tcW w:w="483" w:type="dxa"/>
            <w:vMerge w:val="continue"/>
          </w:tcPr>
          <w:p>
            <w:pPr>
              <w:rPr>
                <w:rFonts w:ascii="宋体" w:cs="宋体"/>
                <w:color w:val="000000"/>
                <w:kern w:val="0"/>
                <w:szCs w:val="24"/>
              </w:rPr>
            </w:pPr>
          </w:p>
        </w:tc>
        <w:tc>
          <w:tcPr>
            <w:tcW w:w="1707" w:type="dxa"/>
            <w:vMerge w:val="continue"/>
          </w:tcPr>
          <w:p>
            <w:pPr>
              <w:rPr>
                <w:rFonts w:ascii="宋体" w:cs="宋体"/>
                <w:color w:val="000000"/>
                <w:kern w:val="0"/>
                <w:szCs w:val="24"/>
              </w:rPr>
            </w:pPr>
          </w:p>
        </w:tc>
        <w:tc>
          <w:tcPr>
            <w:tcW w:w="1881" w:type="dxa"/>
            <w:vAlign w:val="center"/>
          </w:tcPr>
          <w:p>
            <w:pPr>
              <w:jc w:val="center"/>
              <w:rPr>
                <w:rFonts w:ascii="宋体" w:cs="宋体"/>
                <w:color w:val="000000"/>
                <w:kern w:val="0"/>
                <w:szCs w:val="24"/>
              </w:rPr>
            </w:pPr>
            <w:r>
              <w:rPr>
                <w:rFonts w:hint="eastAsia" w:ascii="宋体" w:hAnsi="宋体" w:cs="宋体"/>
                <w:color w:val="000000"/>
                <w:kern w:val="0"/>
                <w:szCs w:val="24"/>
              </w:rPr>
              <w:t>投标报价</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只能有一个有效报价，且不得高于最高限价</w:t>
            </w:r>
            <w:r>
              <w:rPr>
                <w:rFonts w:ascii="宋体" w:cs="宋体"/>
                <w:color w:val="000000"/>
                <w:kern w:val="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1025" w:type="dxa"/>
            <w:vMerge w:val="continue"/>
          </w:tcPr>
          <w:p>
            <w:pPr>
              <w:rPr>
                <w:rFonts w:ascii="宋体" w:cs="宋体"/>
                <w:color w:val="000000"/>
                <w:kern w:val="0"/>
                <w:szCs w:val="24"/>
              </w:rPr>
            </w:pPr>
          </w:p>
        </w:tc>
        <w:tc>
          <w:tcPr>
            <w:tcW w:w="483" w:type="dxa"/>
            <w:vMerge w:val="continue"/>
          </w:tcPr>
          <w:p>
            <w:pPr>
              <w:rPr>
                <w:rFonts w:ascii="宋体" w:cs="宋体"/>
                <w:color w:val="000000"/>
                <w:kern w:val="0"/>
                <w:szCs w:val="24"/>
              </w:rPr>
            </w:pPr>
          </w:p>
        </w:tc>
        <w:tc>
          <w:tcPr>
            <w:tcW w:w="1707" w:type="dxa"/>
            <w:vMerge w:val="continue"/>
          </w:tcPr>
          <w:p>
            <w:pPr>
              <w:rPr>
                <w:rFonts w:ascii="宋体" w:cs="宋体"/>
                <w:color w:val="000000"/>
                <w:kern w:val="0"/>
                <w:szCs w:val="24"/>
              </w:rPr>
            </w:pPr>
          </w:p>
        </w:tc>
        <w:tc>
          <w:tcPr>
            <w:tcW w:w="1881" w:type="dxa"/>
            <w:vAlign w:val="center"/>
          </w:tcPr>
          <w:p>
            <w:pPr>
              <w:jc w:val="center"/>
              <w:rPr>
                <w:rFonts w:ascii="宋体" w:cs="宋体"/>
                <w:color w:val="000000"/>
                <w:kern w:val="0"/>
                <w:szCs w:val="24"/>
              </w:rPr>
            </w:pPr>
            <w:r>
              <w:rPr>
                <w:rFonts w:hint="eastAsia" w:ascii="宋体" w:hAnsi="宋体"/>
                <w:color w:val="000000"/>
                <w:kern w:val="0"/>
                <w:szCs w:val="21"/>
              </w:rPr>
              <w:t>供货质量</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符合第二章“投标人须知前附表”规定。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1025" w:type="dxa"/>
            <w:vMerge w:val="continue"/>
          </w:tcPr>
          <w:p>
            <w:pPr>
              <w:rPr>
                <w:rFonts w:ascii="宋体" w:cs="宋体"/>
                <w:color w:val="000000"/>
                <w:kern w:val="0"/>
                <w:szCs w:val="24"/>
              </w:rPr>
            </w:pPr>
          </w:p>
        </w:tc>
        <w:tc>
          <w:tcPr>
            <w:tcW w:w="483" w:type="dxa"/>
            <w:vMerge w:val="continue"/>
          </w:tcPr>
          <w:p>
            <w:pPr>
              <w:rPr>
                <w:rFonts w:ascii="宋体" w:cs="宋体"/>
                <w:color w:val="000000"/>
                <w:kern w:val="0"/>
                <w:szCs w:val="24"/>
              </w:rPr>
            </w:pPr>
          </w:p>
        </w:tc>
        <w:tc>
          <w:tcPr>
            <w:tcW w:w="1707" w:type="dxa"/>
            <w:vMerge w:val="continue"/>
          </w:tcPr>
          <w:p>
            <w:pPr>
              <w:rPr>
                <w:rFonts w:ascii="宋体" w:cs="宋体"/>
                <w:color w:val="000000"/>
                <w:kern w:val="0"/>
                <w:szCs w:val="24"/>
              </w:rPr>
            </w:pPr>
          </w:p>
        </w:tc>
        <w:tc>
          <w:tcPr>
            <w:tcW w:w="1881" w:type="dxa"/>
            <w:vAlign w:val="center"/>
          </w:tcPr>
          <w:p>
            <w:pPr>
              <w:jc w:val="center"/>
              <w:rPr>
                <w:rFonts w:ascii="宋体"/>
                <w:color w:val="000000"/>
                <w:kern w:val="0"/>
                <w:szCs w:val="21"/>
              </w:rPr>
            </w:pPr>
            <w:r>
              <w:rPr>
                <w:rFonts w:hint="eastAsia" w:ascii="宋体" w:hAnsi="宋体"/>
                <w:color w:val="000000"/>
                <w:kern w:val="0"/>
                <w:szCs w:val="21"/>
              </w:rPr>
              <w:t>质保期</w:t>
            </w:r>
          </w:p>
        </w:tc>
        <w:tc>
          <w:tcPr>
            <w:tcW w:w="4664" w:type="dxa"/>
            <w:vAlign w:val="center"/>
          </w:tcPr>
          <w:p>
            <w:pPr>
              <w:jc w:val="center"/>
              <w:rPr>
                <w:rFonts w:ascii="宋体" w:cs="宋体"/>
                <w:color w:val="000000"/>
                <w:kern w:val="0"/>
                <w:szCs w:val="24"/>
              </w:rPr>
            </w:pPr>
            <w:r>
              <w:rPr>
                <w:rFonts w:hint="eastAsia" w:ascii="宋体" w:hAnsi="宋体" w:cs="宋体"/>
                <w:color w:val="000000"/>
                <w:kern w:val="0"/>
                <w:szCs w:val="24"/>
              </w:rPr>
              <w:t>符合第二章“投标人须知前附表”规定。</w:t>
            </w:r>
          </w:p>
        </w:tc>
      </w:tr>
    </w:tbl>
    <w:p>
      <w:pPr>
        <w:rPr>
          <w:vanish/>
          <w:color w:val="000000"/>
          <w:kern w:val="0"/>
          <w:szCs w:val="24"/>
        </w:rPr>
      </w:pPr>
    </w:p>
    <w:tbl>
      <w:tblPr>
        <w:tblStyle w:val="7"/>
        <w:tblpPr w:leftFromText="180" w:rightFromText="180" w:vertAnchor="text" w:horzAnchor="margin" w:tblpXSpec="center" w:tblpY="1"/>
        <w:tblOverlap w:val="never"/>
        <w:tblW w:w="98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1305"/>
        <w:gridCol w:w="7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trPr>
        <w:tc>
          <w:tcPr>
            <w:tcW w:w="2371" w:type="dxa"/>
            <w:gridSpan w:val="2"/>
            <w:vAlign w:val="center"/>
          </w:tcPr>
          <w:p>
            <w:pPr>
              <w:spacing w:line="360" w:lineRule="auto"/>
              <w:jc w:val="center"/>
              <w:rPr>
                <w:rFonts w:ascii="宋体"/>
                <w:color w:val="000000"/>
                <w:spacing w:val="-6"/>
                <w:kern w:val="0"/>
                <w:szCs w:val="21"/>
              </w:rPr>
            </w:pPr>
            <w:r>
              <w:rPr>
                <w:rFonts w:hint="eastAsia" w:ascii="宋体" w:hAnsi="宋体"/>
                <w:color w:val="000000"/>
                <w:kern w:val="0"/>
                <w:szCs w:val="21"/>
              </w:rPr>
              <w:t>分值构成＝</w:t>
            </w:r>
            <w:r>
              <w:rPr>
                <w:rFonts w:hint="eastAsia" w:ascii="宋体" w:hAnsi="宋体"/>
                <w:color w:val="000000"/>
                <w:spacing w:val="-6"/>
                <w:kern w:val="0"/>
                <w:szCs w:val="21"/>
              </w:rPr>
              <w:t>投标报价</w:t>
            </w:r>
            <w:r>
              <w:rPr>
                <w:rFonts w:ascii="宋体" w:hAnsi="宋体"/>
                <w:color w:val="000000"/>
                <w:kern w:val="0"/>
                <w:szCs w:val="21"/>
              </w:rPr>
              <w:t>+</w:t>
            </w:r>
            <w:r>
              <w:rPr>
                <w:rFonts w:hint="eastAsia" w:ascii="宋体" w:hAnsi="宋体"/>
                <w:color w:val="000000"/>
                <w:spacing w:val="-6"/>
                <w:kern w:val="0"/>
                <w:szCs w:val="21"/>
              </w:rPr>
              <w:t>技术部分</w:t>
            </w:r>
            <w:r>
              <w:rPr>
                <w:rFonts w:ascii="宋体" w:hAnsi="宋体"/>
                <w:color w:val="000000"/>
                <w:kern w:val="0"/>
                <w:szCs w:val="21"/>
              </w:rPr>
              <w:t>+</w:t>
            </w:r>
            <w:r>
              <w:rPr>
                <w:rFonts w:hint="eastAsia" w:ascii="宋体" w:hAnsi="宋体"/>
                <w:color w:val="000000"/>
                <w:spacing w:val="-6"/>
                <w:kern w:val="0"/>
                <w:szCs w:val="21"/>
              </w:rPr>
              <w:t>综合部分</w:t>
            </w:r>
          </w:p>
          <w:p>
            <w:pPr>
              <w:spacing w:line="360" w:lineRule="auto"/>
              <w:jc w:val="center"/>
              <w:rPr>
                <w:rFonts w:ascii="宋体" w:cs="宋体"/>
                <w:color w:val="000000"/>
                <w:kern w:val="0"/>
                <w:szCs w:val="24"/>
              </w:rPr>
            </w:pPr>
            <w:r>
              <w:rPr>
                <w:rFonts w:ascii="宋体" w:hAnsi="宋体"/>
                <w:color w:val="000000"/>
                <w:kern w:val="0"/>
                <w:szCs w:val="21"/>
              </w:rPr>
              <w:t>(</w:t>
            </w:r>
            <w:r>
              <w:rPr>
                <w:rFonts w:hint="eastAsia" w:ascii="宋体" w:hAnsi="宋体"/>
                <w:color w:val="000000"/>
                <w:kern w:val="0"/>
                <w:szCs w:val="21"/>
              </w:rPr>
              <w:t>总分</w:t>
            </w:r>
            <w:r>
              <w:rPr>
                <w:rFonts w:ascii="宋体" w:hAnsi="宋体"/>
                <w:color w:val="000000"/>
                <w:kern w:val="0"/>
                <w:szCs w:val="21"/>
              </w:rPr>
              <w:t>100</w:t>
            </w:r>
            <w:r>
              <w:rPr>
                <w:rFonts w:hint="eastAsia" w:ascii="宋体" w:hAnsi="宋体"/>
                <w:color w:val="000000"/>
                <w:kern w:val="0"/>
                <w:szCs w:val="21"/>
              </w:rPr>
              <w:t>分</w:t>
            </w:r>
            <w:r>
              <w:rPr>
                <w:rFonts w:ascii="宋体" w:hAnsi="宋体"/>
                <w:color w:val="000000"/>
                <w:kern w:val="0"/>
                <w:szCs w:val="21"/>
              </w:rPr>
              <w:t>)</w:t>
            </w:r>
          </w:p>
        </w:tc>
        <w:tc>
          <w:tcPr>
            <w:tcW w:w="7454" w:type="dxa"/>
            <w:vAlign w:val="center"/>
          </w:tcPr>
          <w:p>
            <w:pPr>
              <w:spacing w:line="360" w:lineRule="auto"/>
              <w:ind w:firstLine="148" w:firstLineChars="75"/>
              <w:rPr>
                <w:rFonts w:ascii="宋体"/>
                <w:color w:val="000000"/>
                <w:spacing w:val="-6"/>
                <w:kern w:val="0"/>
                <w:szCs w:val="21"/>
              </w:rPr>
            </w:pPr>
            <w:r>
              <w:rPr>
                <w:rFonts w:hint="eastAsia" w:ascii="宋体" w:hAnsi="宋体"/>
                <w:color w:val="000000"/>
                <w:spacing w:val="-6"/>
                <w:kern w:val="0"/>
                <w:szCs w:val="21"/>
              </w:rPr>
              <w:t>投标报价：</w:t>
            </w:r>
            <w:r>
              <w:rPr>
                <w:rFonts w:ascii="宋体" w:hAnsi="宋体"/>
                <w:color w:val="000000"/>
                <w:spacing w:val="-6"/>
                <w:kern w:val="0"/>
                <w:szCs w:val="21"/>
              </w:rPr>
              <w:t>30</w:t>
            </w:r>
            <w:r>
              <w:rPr>
                <w:rFonts w:hint="eastAsia" w:ascii="宋体" w:hAnsi="宋体"/>
                <w:color w:val="000000"/>
                <w:spacing w:val="-6"/>
                <w:kern w:val="0"/>
                <w:szCs w:val="21"/>
              </w:rPr>
              <w:t>分、技术部分：</w:t>
            </w:r>
            <w:r>
              <w:rPr>
                <w:rFonts w:ascii="宋体" w:hAnsi="宋体"/>
                <w:color w:val="000000"/>
                <w:spacing w:val="-6"/>
                <w:kern w:val="0"/>
                <w:szCs w:val="21"/>
              </w:rPr>
              <w:t>45</w:t>
            </w:r>
            <w:r>
              <w:rPr>
                <w:rFonts w:hint="eastAsia" w:ascii="宋体" w:hAnsi="宋体"/>
                <w:color w:val="000000"/>
                <w:spacing w:val="-6"/>
                <w:kern w:val="0"/>
                <w:szCs w:val="21"/>
              </w:rPr>
              <w:t>分、综合部分：</w:t>
            </w:r>
            <w:r>
              <w:rPr>
                <w:rFonts w:ascii="宋体" w:hAnsi="宋体"/>
                <w:color w:val="000000"/>
                <w:spacing w:val="-6"/>
                <w:kern w:val="0"/>
                <w:szCs w:val="21"/>
              </w:rPr>
              <w:t>25</w:t>
            </w:r>
            <w:r>
              <w:rPr>
                <w:rFonts w:hint="eastAsia" w:ascii="宋体" w:hAnsi="宋体"/>
                <w:color w:val="000000"/>
                <w:spacing w:val="-6"/>
                <w:kern w:val="0"/>
                <w:szCs w:val="21"/>
              </w:rPr>
              <w:t>分</w:t>
            </w:r>
          </w:p>
          <w:p>
            <w:pPr>
              <w:spacing w:line="360" w:lineRule="auto"/>
              <w:ind w:firstLine="148" w:firstLineChars="75"/>
              <w:rPr>
                <w:rFonts w:ascii="宋体" w:cs="宋体"/>
                <w:color w:val="000000"/>
                <w:kern w:val="0"/>
                <w:szCs w:val="24"/>
              </w:rPr>
            </w:pPr>
            <w:r>
              <w:rPr>
                <w:rFonts w:hint="eastAsia" w:ascii="宋体" w:hAnsi="宋体"/>
                <w:color w:val="000000"/>
                <w:spacing w:val="-6"/>
                <w:kern w:val="0"/>
                <w:szCs w:val="21"/>
              </w:rPr>
              <w:t>评委集体评议分别打分，各评委打分的算术平均值，即为该单位最终得分。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2371" w:type="dxa"/>
            <w:gridSpan w:val="2"/>
          </w:tcPr>
          <w:p>
            <w:pPr>
              <w:spacing w:line="360" w:lineRule="auto"/>
              <w:jc w:val="left"/>
              <w:rPr>
                <w:rFonts w:ascii="宋体"/>
                <w:color w:val="000000"/>
                <w:kern w:val="0"/>
                <w:szCs w:val="21"/>
              </w:rPr>
            </w:pPr>
          </w:p>
        </w:tc>
        <w:tc>
          <w:tcPr>
            <w:tcW w:w="7454" w:type="dxa"/>
          </w:tcPr>
          <w:p>
            <w:pPr>
              <w:spacing w:line="360" w:lineRule="auto"/>
              <w:ind w:firstLine="420" w:firstLineChars="200"/>
              <w:jc w:val="left"/>
              <w:rPr>
                <w:rFonts w:ascii="宋体"/>
                <w:color w:val="000000"/>
                <w:spacing w:val="-6"/>
                <w:kern w:val="0"/>
                <w:szCs w:val="21"/>
              </w:rPr>
            </w:pPr>
            <w:r>
              <w:rPr>
                <w:rFonts w:hint="eastAsia" w:ascii="宋体" w:hAnsi="宋体" w:cs="宋体"/>
                <w:color w:val="000000"/>
                <w:kern w:val="0"/>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7" w:hRule="atLeast"/>
        </w:trPr>
        <w:tc>
          <w:tcPr>
            <w:tcW w:w="2371" w:type="dxa"/>
            <w:gridSpan w:val="2"/>
            <w:vAlign w:val="center"/>
          </w:tcPr>
          <w:p>
            <w:pPr>
              <w:spacing w:line="360" w:lineRule="auto"/>
              <w:jc w:val="center"/>
              <w:rPr>
                <w:rFonts w:ascii="宋体" w:cs="宋体"/>
                <w:color w:val="000000"/>
                <w:kern w:val="0"/>
                <w:szCs w:val="24"/>
              </w:rPr>
            </w:pPr>
            <w:r>
              <w:rPr>
                <w:rFonts w:hint="eastAsia" w:ascii="宋体" w:hAnsi="宋体" w:cs="宋体"/>
                <w:color w:val="000000"/>
                <w:kern w:val="0"/>
                <w:szCs w:val="24"/>
              </w:rPr>
              <w:t>投标报价</w:t>
            </w:r>
          </w:p>
          <w:p>
            <w:pPr>
              <w:spacing w:line="360" w:lineRule="auto"/>
              <w:jc w:val="center"/>
              <w:rPr>
                <w:rFonts w:ascii="宋体" w:cs="宋体"/>
                <w:color w:val="000000"/>
                <w:kern w:val="0"/>
                <w:szCs w:val="24"/>
              </w:rPr>
            </w:pPr>
            <w:r>
              <w:rPr>
                <w:rFonts w:ascii="宋体" w:hAnsi="宋体" w:cs="宋体"/>
                <w:color w:val="000000"/>
                <w:kern w:val="0"/>
                <w:szCs w:val="24"/>
              </w:rPr>
              <w:t>(30</w:t>
            </w:r>
            <w:r>
              <w:rPr>
                <w:rFonts w:hint="eastAsia" w:ascii="宋体" w:hAnsi="宋体" w:cs="宋体"/>
                <w:color w:val="000000"/>
                <w:kern w:val="0"/>
                <w:szCs w:val="24"/>
              </w:rPr>
              <w:t>分</w:t>
            </w:r>
            <w:r>
              <w:rPr>
                <w:rFonts w:ascii="宋体" w:hAnsi="宋体" w:cs="宋体"/>
                <w:color w:val="000000"/>
                <w:kern w:val="0"/>
                <w:szCs w:val="24"/>
              </w:rPr>
              <w:t>)</w:t>
            </w:r>
          </w:p>
        </w:tc>
        <w:tc>
          <w:tcPr>
            <w:tcW w:w="7454" w:type="dxa"/>
          </w:tcPr>
          <w:p>
            <w:pPr>
              <w:spacing w:line="360" w:lineRule="auto"/>
              <w:ind w:firstLine="147" w:firstLineChars="70"/>
              <w:jc w:val="left"/>
              <w:rPr>
                <w:color w:val="000000"/>
                <w:kern w:val="0"/>
                <w:szCs w:val="24"/>
              </w:rPr>
            </w:pPr>
            <w:r>
              <w:rPr>
                <w:rFonts w:hint="eastAsia"/>
                <w:color w:val="000000"/>
                <w:kern w:val="0"/>
                <w:szCs w:val="24"/>
              </w:rPr>
              <w:t>投标报价计算方法如下：</w:t>
            </w:r>
          </w:p>
          <w:p>
            <w:pPr>
              <w:spacing w:line="360" w:lineRule="auto"/>
              <w:ind w:firstLine="147" w:firstLineChars="70"/>
              <w:jc w:val="left"/>
              <w:rPr>
                <w:color w:val="000000"/>
                <w:kern w:val="0"/>
                <w:szCs w:val="24"/>
              </w:rPr>
            </w:pPr>
            <w:r>
              <w:rPr>
                <w:color w:val="000000"/>
                <w:kern w:val="0"/>
                <w:szCs w:val="24"/>
              </w:rPr>
              <w:t>1</w:t>
            </w:r>
            <w:r>
              <w:rPr>
                <w:rFonts w:hint="eastAsia"/>
                <w:color w:val="000000"/>
                <w:kern w:val="0"/>
                <w:szCs w:val="24"/>
              </w:rPr>
              <w:t>、评标委员会对所有投标报价进行审查核对，发现恶意投标者按无效标处理；</w:t>
            </w:r>
          </w:p>
          <w:p>
            <w:pPr>
              <w:spacing w:line="360" w:lineRule="auto"/>
              <w:ind w:firstLine="147" w:firstLineChars="70"/>
              <w:jc w:val="left"/>
              <w:rPr>
                <w:color w:val="000000"/>
                <w:kern w:val="0"/>
                <w:szCs w:val="24"/>
              </w:rPr>
            </w:pPr>
            <w:r>
              <w:rPr>
                <w:color w:val="000000"/>
                <w:kern w:val="0"/>
                <w:szCs w:val="24"/>
              </w:rPr>
              <w:t>2</w:t>
            </w:r>
            <w:r>
              <w:rPr>
                <w:rFonts w:hint="eastAsia"/>
                <w:color w:val="000000"/>
                <w:kern w:val="0"/>
                <w:szCs w:val="24"/>
              </w:rPr>
              <w:t>、评标基准价：</w:t>
            </w:r>
            <w:r>
              <w:rPr>
                <w:rFonts w:hint="eastAsia" w:ascii="宋体" w:hAnsi="宋体" w:cs="Arial"/>
                <w:bCs/>
                <w:color w:val="333333"/>
                <w:kern w:val="0"/>
                <w:szCs w:val="21"/>
              </w:rPr>
              <w:t>满足招标文件要求且投标价格最低的有效投标报价为评标基准价</w:t>
            </w:r>
            <w:r>
              <w:rPr>
                <w:rFonts w:hint="eastAsia"/>
                <w:color w:val="000000"/>
                <w:kern w:val="0"/>
                <w:szCs w:val="24"/>
              </w:rPr>
              <w:t>，其价格分为满分。其他投标人的价格分统一按照下列公式计算：</w:t>
            </w:r>
          </w:p>
          <w:p>
            <w:pPr>
              <w:spacing w:line="360" w:lineRule="auto"/>
              <w:ind w:firstLine="420" w:firstLineChars="200"/>
              <w:jc w:val="left"/>
              <w:rPr>
                <w:color w:val="000000"/>
                <w:kern w:val="0"/>
                <w:szCs w:val="24"/>
              </w:rPr>
            </w:pPr>
            <w:r>
              <w:rPr>
                <w:rFonts w:hint="eastAsia"/>
                <w:color w:val="000000"/>
                <w:kern w:val="0"/>
                <w:szCs w:val="24"/>
              </w:rPr>
              <w:t>投标报价得分＝</w:t>
            </w:r>
            <w:r>
              <w:rPr>
                <w:color w:val="000000"/>
                <w:kern w:val="0"/>
                <w:szCs w:val="24"/>
              </w:rPr>
              <w:t>(</w:t>
            </w:r>
            <w:r>
              <w:rPr>
                <w:rFonts w:hint="eastAsia"/>
                <w:color w:val="000000"/>
                <w:kern w:val="0"/>
                <w:szCs w:val="24"/>
              </w:rPr>
              <w:t>评标基准价／投标报价</w:t>
            </w:r>
            <w:r>
              <w:rPr>
                <w:color w:val="000000"/>
                <w:kern w:val="0"/>
                <w:szCs w:val="24"/>
              </w:rPr>
              <w:t>)</w:t>
            </w:r>
            <w:r>
              <w:rPr>
                <w:rFonts w:hint="eastAsia"/>
                <w:color w:val="000000"/>
                <w:kern w:val="0"/>
                <w:szCs w:val="24"/>
              </w:rPr>
              <w:t>×</w:t>
            </w:r>
            <w:r>
              <w:rPr>
                <w:color w:val="000000"/>
                <w:kern w:val="0"/>
                <w:szCs w:val="24"/>
              </w:rPr>
              <w:t>30</w:t>
            </w:r>
          </w:p>
          <w:p>
            <w:pPr>
              <w:spacing w:line="360" w:lineRule="auto"/>
              <w:ind w:firstLine="420" w:firstLineChars="200"/>
              <w:jc w:val="left"/>
              <w:rPr>
                <w:color w:val="000000"/>
                <w:kern w:val="0"/>
                <w:szCs w:val="24"/>
              </w:rPr>
            </w:pPr>
            <w:r>
              <w:rPr>
                <w:rFonts w:hint="eastAsia"/>
                <w:color w:val="000000"/>
                <w:kern w:val="0"/>
                <w:szCs w:val="24"/>
              </w:rPr>
              <w:t>为了促进中小企业发展，根据《中华人民共和国政府采购法实施条例》第六条和财库</w:t>
            </w:r>
            <w:r>
              <w:rPr>
                <w:color w:val="000000"/>
                <w:kern w:val="0"/>
                <w:szCs w:val="24"/>
              </w:rPr>
              <w:t>[2011]181</w:t>
            </w:r>
            <w:r>
              <w:rPr>
                <w:rFonts w:hint="eastAsia"/>
                <w:color w:val="000000"/>
                <w:kern w:val="0"/>
                <w:szCs w:val="24"/>
              </w:rPr>
              <w:t>号的规定，给予小型和微型企业产品（供应商为小微企业且提供的所有投标产品均为小微企业生产产品）价格</w:t>
            </w:r>
            <w:r>
              <w:rPr>
                <w:color w:val="000000"/>
                <w:kern w:val="0"/>
                <w:szCs w:val="24"/>
              </w:rPr>
              <w:t>6%</w:t>
            </w:r>
            <w:r>
              <w:rPr>
                <w:rFonts w:hint="eastAsia"/>
                <w:color w:val="000000"/>
                <w:kern w:val="0"/>
                <w:szCs w:val="24"/>
              </w:rPr>
              <w:t>的扣除，用扣除后的价格参与评审，小微企业产品投标报价</w:t>
            </w:r>
            <w:r>
              <w:rPr>
                <w:color w:val="000000"/>
                <w:kern w:val="0"/>
                <w:szCs w:val="24"/>
              </w:rPr>
              <w:t>=</w:t>
            </w:r>
            <w:r>
              <w:rPr>
                <w:rFonts w:hint="eastAsia"/>
                <w:color w:val="000000"/>
                <w:kern w:val="0"/>
                <w:szCs w:val="24"/>
              </w:rPr>
              <w:t>小微企业产品报价</w:t>
            </w:r>
            <w:r>
              <w:rPr>
                <w:color w:val="000000"/>
                <w:kern w:val="0"/>
                <w:szCs w:val="24"/>
              </w:rPr>
              <w:t>*</w:t>
            </w:r>
            <w:r>
              <w:rPr>
                <w:rFonts w:hint="eastAsia"/>
                <w:color w:val="000000"/>
                <w:kern w:val="0"/>
                <w:szCs w:val="24"/>
              </w:rPr>
              <w:t>（</w:t>
            </w:r>
            <w:r>
              <w:rPr>
                <w:color w:val="000000"/>
                <w:kern w:val="0"/>
                <w:szCs w:val="24"/>
              </w:rPr>
              <w:t>1-6%</w:t>
            </w:r>
            <w:r>
              <w:rPr>
                <w:rFonts w:hint="eastAsia"/>
                <w:color w:val="000000"/>
                <w:kern w:val="0"/>
                <w:szCs w:val="24"/>
              </w:rPr>
              <w:t>）。</w:t>
            </w:r>
          </w:p>
          <w:p>
            <w:pPr>
              <w:spacing w:line="360" w:lineRule="auto"/>
              <w:ind w:firstLine="420" w:firstLineChars="200"/>
              <w:jc w:val="left"/>
              <w:rPr>
                <w:rFonts w:ascii="Times New Roman"/>
                <w:color w:val="000000"/>
                <w:kern w:val="0"/>
                <w:szCs w:val="24"/>
              </w:rPr>
            </w:pPr>
            <w:r>
              <w:rPr>
                <w:color w:val="000000"/>
                <w:kern w:val="0"/>
                <w:szCs w:val="24"/>
              </w:rPr>
              <w:t>3</w:t>
            </w:r>
            <w:r>
              <w:rPr>
                <w:rFonts w:hint="eastAsia"/>
                <w:color w:val="000000"/>
                <w:kern w:val="0"/>
                <w:szCs w:val="24"/>
              </w:rPr>
              <w:t>、按四舍五入法则，保留小数点后两位。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371" w:type="dxa"/>
            <w:gridSpan w:val="2"/>
            <w:vAlign w:val="center"/>
          </w:tcPr>
          <w:p>
            <w:pPr>
              <w:spacing w:line="360" w:lineRule="auto"/>
              <w:jc w:val="center"/>
              <w:rPr>
                <w:rFonts w:ascii="宋体" w:cs="宋体"/>
                <w:color w:val="000000"/>
                <w:kern w:val="0"/>
                <w:szCs w:val="24"/>
              </w:rPr>
            </w:pPr>
            <w:r>
              <w:rPr>
                <w:rFonts w:hint="eastAsia" w:ascii="宋体" w:hAnsi="宋体" w:cs="宋体"/>
                <w:color w:val="000000"/>
                <w:kern w:val="0"/>
                <w:szCs w:val="24"/>
              </w:rPr>
              <w:t>技术部分</w:t>
            </w:r>
          </w:p>
          <w:p>
            <w:pPr>
              <w:spacing w:line="360" w:lineRule="auto"/>
              <w:jc w:val="center"/>
              <w:rPr>
                <w:rFonts w:ascii="宋体" w:cs="宋体"/>
                <w:color w:val="000000"/>
                <w:kern w:val="0"/>
                <w:szCs w:val="24"/>
              </w:rPr>
            </w:pPr>
            <w:r>
              <w:rPr>
                <w:rFonts w:ascii="宋体" w:hAnsi="宋体" w:cs="宋体"/>
                <w:color w:val="000000"/>
                <w:kern w:val="0"/>
                <w:szCs w:val="24"/>
              </w:rPr>
              <w:t>(45</w:t>
            </w:r>
            <w:r>
              <w:rPr>
                <w:rFonts w:hint="eastAsia" w:ascii="宋体" w:hAnsi="宋体" w:cs="宋体"/>
                <w:color w:val="000000"/>
                <w:kern w:val="0"/>
                <w:szCs w:val="24"/>
              </w:rPr>
              <w:t>分</w:t>
            </w:r>
            <w:r>
              <w:rPr>
                <w:rFonts w:ascii="宋体" w:hAnsi="宋体" w:cs="宋体"/>
                <w:color w:val="000000"/>
                <w:kern w:val="0"/>
                <w:szCs w:val="24"/>
              </w:rPr>
              <w:t>)</w:t>
            </w:r>
          </w:p>
        </w:tc>
        <w:tc>
          <w:tcPr>
            <w:tcW w:w="7454" w:type="dxa"/>
          </w:tcPr>
          <w:p>
            <w:pPr>
              <w:spacing w:line="360" w:lineRule="auto"/>
              <w:ind w:firstLine="420" w:firstLineChars="200"/>
              <w:jc w:val="left"/>
              <w:rPr>
                <w:color w:val="000000"/>
                <w:kern w:val="0"/>
                <w:szCs w:val="24"/>
              </w:rPr>
            </w:pPr>
            <w:r>
              <w:rPr>
                <w:rFonts w:hint="eastAsia"/>
                <w:color w:val="000000"/>
                <w:kern w:val="0"/>
                <w:szCs w:val="24"/>
              </w:rPr>
              <w:t>技术特点、性能指标要求完全满足招标参数要求得</w:t>
            </w:r>
            <w:r>
              <w:rPr>
                <w:color w:val="000000"/>
                <w:kern w:val="0"/>
                <w:szCs w:val="24"/>
              </w:rPr>
              <w:t>45</w:t>
            </w:r>
            <w:r>
              <w:rPr>
                <w:rFonts w:hint="eastAsia"/>
                <w:color w:val="000000"/>
                <w:kern w:val="0"/>
                <w:szCs w:val="24"/>
              </w:rPr>
              <w:t>分，任意一项细微负偏差不满足扣</w:t>
            </w:r>
            <w:r>
              <w:rPr>
                <w:color w:val="000000"/>
                <w:kern w:val="0"/>
                <w:szCs w:val="24"/>
              </w:rPr>
              <w:t>2</w:t>
            </w:r>
            <w:r>
              <w:rPr>
                <w:rFonts w:hint="eastAsia"/>
                <w:color w:val="000000"/>
                <w:kern w:val="0"/>
                <w:szCs w:val="24"/>
              </w:rPr>
              <w:t>分，扣完为止。参数不满足带“★”参数的，则可以认定为重大负偏差从而影响到产品正常运行的，则产品技术部分得分为</w:t>
            </w:r>
            <w:r>
              <w:rPr>
                <w:color w:val="000000"/>
                <w:kern w:val="0"/>
                <w:szCs w:val="24"/>
              </w:rPr>
              <w:t>0</w:t>
            </w:r>
            <w:r>
              <w:rPr>
                <w:rFonts w:hint="eastAsia"/>
                <w:color w:val="000000"/>
                <w:kern w:val="0"/>
                <w:szCs w:val="24"/>
              </w:rPr>
              <w:t>分。</w:t>
            </w:r>
          </w:p>
          <w:p>
            <w:pPr>
              <w:spacing w:line="360" w:lineRule="auto"/>
              <w:ind w:firstLine="420" w:firstLineChars="200"/>
              <w:jc w:val="left"/>
              <w:rPr>
                <w:color w:val="000000"/>
                <w:kern w:val="0"/>
                <w:szCs w:val="24"/>
              </w:rPr>
            </w:pPr>
            <w:r>
              <w:rPr>
                <w:rFonts w:hint="eastAsia"/>
                <w:color w:val="000000"/>
                <w:kern w:val="0"/>
                <w:szCs w:val="24"/>
              </w:rPr>
              <w:t>投标人必须按照招标文件的要求提供具有法律效力的详细描述所投设备性能、特点的技术证明文件扫描件（技术证明文件扫描件是指生产厂家出具证明函扫描件，加盖厂家印章），以证明技术参数及功能的有效性。技术参数中有特殊要求的，以技术参数中的要求提供。评标时以证明文件为准。所提供技术证明文件扫描件有缺项的视为此项不满足。</w:t>
            </w:r>
          </w:p>
          <w:p>
            <w:pPr>
              <w:ind w:firstLine="420" w:firstLineChars="200"/>
              <w:jc w:val="left"/>
              <w:rPr>
                <w:rFonts w:ascii="宋体" w:cs="宋体"/>
                <w:color w:val="000000"/>
                <w:kern w:val="0"/>
                <w:sz w:val="24"/>
                <w:szCs w:val="24"/>
              </w:rPr>
            </w:pPr>
            <w:r>
              <w:rPr>
                <w:rFonts w:hint="eastAsia" w:hAnsi="宋体"/>
                <w:color w:val="000000"/>
                <w:szCs w:val="24"/>
              </w:rPr>
              <w:t>标记★条款均需要提供系统截图证明，生产厂商加盖公章。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2" w:hRule="atLeast"/>
        </w:trPr>
        <w:tc>
          <w:tcPr>
            <w:tcW w:w="1066" w:type="dxa"/>
            <w:vMerge w:val="restart"/>
            <w:vAlign w:val="center"/>
          </w:tcPr>
          <w:p>
            <w:pPr>
              <w:spacing w:line="360" w:lineRule="auto"/>
              <w:rPr>
                <w:color w:val="000000"/>
                <w:kern w:val="0"/>
                <w:szCs w:val="24"/>
              </w:rPr>
            </w:pPr>
            <w:r>
              <w:rPr>
                <w:rFonts w:hint="eastAsia"/>
                <w:color w:val="000000"/>
                <w:kern w:val="0"/>
                <w:szCs w:val="24"/>
              </w:rPr>
              <w:t>综合部分</w:t>
            </w:r>
          </w:p>
          <w:p>
            <w:pPr>
              <w:spacing w:line="360" w:lineRule="auto"/>
              <w:rPr>
                <w:rFonts w:ascii="宋体" w:cs="宋体"/>
                <w:color w:val="000000"/>
                <w:kern w:val="0"/>
                <w:szCs w:val="24"/>
              </w:rPr>
            </w:pPr>
            <w:r>
              <w:rPr>
                <w:rFonts w:hint="eastAsia"/>
                <w:color w:val="000000"/>
                <w:kern w:val="0"/>
                <w:szCs w:val="24"/>
              </w:rPr>
              <w:t>（</w:t>
            </w:r>
            <w:r>
              <w:rPr>
                <w:color w:val="000000"/>
                <w:kern w:val="0"/>
                <w:szCs w:val="24"/>
              </w:rPr>
              <w:t>2</w:t>
            </w:r>
            <w:r>
              <w:rPr>
                <w:rFonts w:hint="eastAsia"/>
                <w:color w:val="000000"/>
                <w:kern w:val="0"/>
                <w:szCs w:val="24"/>
              </w:rPr>
              <w:t>5分）</w:t>
            </w:r>
          </w:p>
        </w:tc>
        <w:tc>
          <w:tcPr>
            <w:tcW w:w="1305" w:type="dxa"/>
            <w:vAlign w:val="center"/>
          </w:tcPr>
          <w:p>
            <w:pPr>
              <w:spacing w:line="360" w:lineRule="auto"/>
              <w:rPr>
                <w:color w:val="000000"/>
                <w:kern w:val="0"/>
                <w:szCs w:val="24"/>
              </w:rPr>
            </w:pPr>
            <w:r>
              <w:rPr>
                <w:rFonts w:hint="eastAsia"/>
                <w:color w:val="000000"/>
                <w:kern w:val="0"/>
                <w:szCs w:val="24"/>
              </w:rPr>
              <w:t>供货周期（</w:t>
            </w:r>
            <w:r>
              <w:rPr>
                <w:color w:val="000000"/>
                <w:kern w:val="0"/>
                <w:szCs w:val="24"/>
              </w:rPr>
              <w:t>2</w:t>
            </w:r>
            <w:r>
              <w:rPr>
                <w:rFonts w:hint="eastAsia"/>
                <w:color w:val="000000"/>
                <w:kern w:val="0"/>
                <w:szCs w:val="24"/>
              </w:rPr>
              <w:t>分）</w:t>
            </w:r>
          </w:p>
        </w:tc>
        <w:tc>
          <w:tcPr>
            <w:tcW w:w="7454" w:type="dxa"/>
            <w:vAlign w:val="center"/>
          </w:tcPr>
          <w:p>
            <w:pPr>
              <w:spacing w:line="360" w:lineRule="auto"/>
              <w:rPr>
                <w:b/>
                <w:bCs/>
                <w:color w:val="000000"/>
                <w:kern w:val="0"/>
                <w:szCs w:val="24"/>
              </w:rPr>
            </w:pPr>
            <w:r>
              <w:rPr>
                <w:rFonts w:hint="eastAsia"/>
                <w:color w:val="000000"/>
                <w:kern w:val="0"/>
                <w:szCs w:val="24"/>
              </w:rPr>
              <w:t>投标人须承诺在</w:t>
            </w:r>
            <w:r>
              <w:rPr>
                <w:rFonts w:hint="eastAsia" w:ascii="宋体" w:hAnsi="宋体"/>
                <w:szCs w:val="21"/>
              </w:rPr>
              <w:t>合同签订后</w:t>
            </w:r>
            <w:r>
              <w:rPr>
                <w:rFonts w:ascii="宋体" w:hAnsi="宋体"/>
                <w:szCs w:val="21"/>
              </w:rPr>
              <w:t>9</w:t>
            </w:r>
            <w:r>
              <w:rPr>
                <w:rFonts w:hint="eastAsia" w:ascii="宋体" w:hAnsi="宋体"/>
                <w:szCs w:val="21"/>
              </w:rPr>
              <w:t>日历天内供货并安装完毕</w:t>
            </w:r>
            <w:r>
              <w:rPr>
                <w:rFonts w:hint="eastAsia"/>
                <w:color w:val="000000"/>
                <w:kern w:val="0"/>
                <w:szCs w:val="24"/>
              </w:rPr>
              <w:t>，</w:t>
            </w:r>
            <w:r>
              <w:rPr>
                <w:rFonts w:hint="eastAsia" w:hAnsi="宋体"/>
                <w:color w:val="000000"/>
                <w:szCs w:val="24"/>
              </w:rPr>
              <w:t>有得</w:t>
            </w:r>
            <w:r>
              <w:rPr>
                <w:rFonts w:hAnsi="宋体"/>
                <w:color w:val="000000"/>
                <w:szCs w:val="24"/>
              </w:rPr>
              <w:t>2</w:t>
            </w:r>
            <w:r>
              <w:rPr>
                <w:rFonts w:hint="eastAsia" w:hAnsi="宋体"/>
                <w:color w:val="000000"/>
                <w:szCs w:val="24"/>
              </w:rPr>
              <w:t>分，</w:t>
            </w:r>
            <w:r>
              <w:rPr>
                <w:rFonts w:hint="eastAsia"/>
                <w:color w:val="000000"/>
                <w:kern w:val="0"/>
                <w:szCs w:val="24"/>
              </w:rPr>
              <w:t>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8" w:hRule="atLeast"/>
        </w:trPr>
        <w:tc>
          <w:tcPr>
            <w:tcW w:w="1066" w:type="dxa"/>
            <w:vMerge w:val="continue"/>
          </w:tcPr>
          <w:p>
            <w:pPr>
              <w:spacing w:line="360" w:lineRule="auto"/>
              <w:jc w:val="left"/>
              <w:rPr>
                <w:rFonts w:ascii="宋体" w:cs="宋体"/>
                <w:color w:val="000000"/>
                <w:kern w:val="0"/>
                <w:szCs w:val="24"/>
                <w:lang w:val="zh-CN"/>
              </w:rPr>
            </w:pPr>
          </w:p>
        </w:tc>
        <w:tc>
          <w:tcPr>
            <w:tcW w:w="1305" w:type="dxa"/>
            <w:vAlign w:val="center"/>
          </w:tcPr>
          <w:p>
            <w:pPr>
              <w:spacing w:line="360" w:lineRule="auto"/>
              <w:rPr>
                <w:color w:val="000000"/>
                <w:kern w:val="0"/>
                <w:szCs w:val="24"/>
                <w:lang w:val="zh-CN"/>
              </w:rPr>
            </w:pPr>
            <w:r>
              <w:rPr>
                <w:rFonts w:hint="eastAsia"/>
                <w:color w:val="000000"/>
                <w:kern w:val="0"/>
                <w:szCs w:val="24"/>
              </w:rPr>
              <w:t>产品资质（</w:t>
            </w:r>
            <w:r>
              <w:rPr>
                <w:color w:val="000000"/>
                <w:kern w:val="0"/>
                <w:szCs w:val="24"/>
              </w:rPr>
              <w:t>3</w:t>
            </w:r>
            <w:r>
              <w:rPr>
                <w:rFonts w:hint="eastAsia"/>
                <w:color w:val="000000"/>
                <w:kern w:val="0"/>
                <w:szCs w:val="24"/>
              </w:rPr>
              <w:t>分）</w:t>
            </w:r>
          </w:p>
        </w:tc>
        <w:tc>
          <w:tcPr>
            <w:tcW w:w="7454" w:type="dxa"/>
            <w:vAlign w:val="center"/>
          </w:tcPr>
          <w:p>
            <w:pPr>
              <w:ind w:firstLine="420" w:firstLineChars="200"/>
              <w:rPr>
                <w:color w:val="000000"/>
                <w:kern w:val="0"/>
                <w:szCs w:val="24"/>
              </w:rPr>
            </w:pPr>
            <w:r>
              <w:rPr>
                <w:rFonts w:hint="eastAsia"/>
                <w:color w:val="000000"/>
                <w:kern w:val="0"/>
                <w:szCs w:val="24"/>
              </w:rPr>
              <w:t>提供</w:t>
            </w:r>
            <w:r>
              <w:rPr>
                <w:rFonts w:hint="eastAsia" w:ascii="宋体" w:hAnsi="宋体"/>
                <w:color w:val="000000"/>
                <w:kern w:val="0"/>
                <w:szCs w:val="21"/>
              </w:rPr>
              <w:t>所投产品</w:t>
            </w:r>
            <w:r>
              <w:rPr>
                <w:rFonts w:hint="eastAsia"/>
                <w:color w:val="000000"/>
                <w:kern w:val="0"/>
                <w:szCs w:val="24"/>
              </w:rPr>
              <w:t>软件著作权证书</w:t>
            </w:r>
            <w:r>
              <w:rPr>
                <w:rFonts w:hint="eastAsia" w:ascii="宋体" w:hAnsi="宋体"/>
                <w:color w:val="000000"/>
                <w:kern w:val="0"/>
                <w:szCs w:val="21"/>
              </w:rPr>
              <w:t>（原件扫描件，无原件扫描件不得分）</w:t>
            </w:r>
            <w:r>
              <w:rPr>
                <w:rFonts w:hint="eastAsia"/>
                <w:color w:val="000000"/>
                <w:kern w:val="0"/>
                <w:szCs w:val="24"/>
              </w:rPr>
              <w:t>，有得</w:t>
            </w:r>
            <w:r>
              <w:rPr>
                <w:color w:val="000000"/>
                <w:kern w:val="0"/>
                <w:szCs w:val="24"/>
              </w:rPr>
              <w:t>1</w:t>
            </w:r>
            <w:r>
              <w:rPr>
                <w:rFonts w:hint="eastAsia"/>
                <w:color w:val="000000"/>
                <w:kern w:val="0"/>
                <w:szCs w:val="24"/>
              </w:rPr>
              <w:t>分，没有不得分。</w:t>
            </w:r>
          </w:p>
          <w:p>
            <w:pPr>
              <w:spacing w:line="360" w:lineRule="auto"/>
              <w:ind w:firstLine="420" w:firstLineChars="200"/>
              <w:jc w:val="left"/>
              <w:rPr>
                <w:rFonts w:hAnsi="宋体"/>
                <w:color w:val="000000"/>
                <w:szCs w:val="24"/>
              </w:rPr>
            </w:pPr>
            <w:r>
              <w:rPr>
                <w:rFonts w:hint="eastAsia" w:hAnsi="宋体"/>
                <w:color w:val="000000"/>
                <w:szCs w:val="24"/>
              </w:rPr>
              <w:t>提供所投产品微信小程序软件著作权证书（原件</w:t>
            </w:r>
            <w:r>
              <w:rPr>
                <w:rFonts w:hint="eastAsia" w:ascii="宋体" w:hAnsi="宋体"/>
                <w:color w:val="000000"/>
                <w:kern w:val="0"/>
                <w:szCs w:val="21"/>
              </w:rPr>
              <w:t>扫描件</w:t>
            </w:r>
            <w:r>
              <w:rPr>
                <w:rFonts w:hint="eastAsia" w:hAnsi="宋体"/>
                <w:color w:val="000000"/>
                <w:szCs w:val="24"/>
              </w:rPr>
              <w:t>，无</w:t>
            </w:r>
            <w:r>
              <w:rPr>
                <w:rFonts w:hint="eastAsia" w:ascii="宋体" w:hAnsi="宋体"/>
                <w:color w:val="000000"/>
                <w:kern w:val="0"/>
                <w:szCs w:val="21"/>
              </w:rPr>
              <w:t>原件扫描件</w:t>
            </w:r>
            <w:r>
              <w:rPr>
                <w:rFonts w:hint="eastAsia" w:hAnsi="宋体"/>
                <w:color w:val="000000"/>
                <w:szCs w:val="24"/>
              </w:rPr>
              <w:t>不得分），有得</w:t>
            </w:r>
            <w:r>
              <w:rPr>
                <w:rFonts w:hAnsi="宋体"/>
                <w:color w:val="000000"/>
                <w:szCs w:val="24"/>
              </w:rPr>
              <w:t>2</w:t>
            </w:r>
            <w:r>
              <w:rPr>
                <w:rFonts w:hint="eastAsia" w:hAnsi="宋体"/>
                <w:color w:val="000000"/>
                <w:szCs w:val="24"/>
              </w:rPr>
              <w:t>分，</w:t>
            </w:r>
            <w:r>
              <w:rPr>
                <w:rFonts w:hint="eastAsia"/>
                <w:color w:val="000000"/>
                <w:kern w:val="0"/>
                <w:szCs w:val="24"/>
              </w:rPr>
              <w:t>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1066" w:type="dxa"/>
            <w:vMerge w:val="continue"/>
          </w:tcPr>
          <w:p>
            <w:pPr>
              <w:spacing w:line="360" w:lineRule="auto"/>
              <w:jc w:val="left"/>
              <w:rPr>
                <w:rFonts w:ascii="宋体" w:cs="宋体"/>
                <w:color w:val="000000"/>
                <w:kern w:val="0"/>
                <w:szCs w:val="24"/>
                <w:lang w:val="zh-CN"/>
              </w:rPr>
            </w:pPr>
          </w:p>
        </w:tc>
        <w:tc>
          <w:tcPr>
            <w:tcW w:w="1305" w:type="dxa"/>
            <w:vAlign w:val="center"/>
          </w:tcPr>
          <w:p>
            <w:pPr>
              <w:spacing w:line="360" w:lineRule="auto"/>
              <w:rPr>
                <w:color w:val="000000"/>
                <w:kern w:val="0"/>
                <w:szCs w:val="24"/>
              </w:rPr>
            </w:pPr>
            <w:r>
              <w:rPr>
                <w:rFonts w:hint="eastAsia"/>
                <w:color w:val="000000"/>
                <w:kern w:val="0"/>
                <w:szCs w:val="24"/>
              </w:rPr>
              <w:t>售后服务（</w:t>
            </w:r>
            <w:r>
              <w:rPr>
                <w:color w:val="000000"/>
                <w:kern w:val="0"/>
                <w:szCs w:val="24"/>
              </w:rPr>
              <w:t>13</w:t>
            </w:r>
            <w:r>
              <w:rPr>
                <w:rFonts w:hint="eastAsia"/>
                <w:color w:val="000000"/>
                <w:kern w:val="0"/>
                <w:szCs w:val="24"/>
              </w:rPr>
              <w:t>分）</w:t>
            </w:r>
          </w:p>
        </w:tc>
        <w:tc>
          <w:tcPr>
            <w:tcW w:w="7454" w:type="dxa"/>
            <w:vAlign w:val="center"/>
          </w:tcPr>
          <w:p>
            <w:pPr>
              <w:spacing w:line="360" w:lineRule="auto"/>
              <w:ind w:firstLine="420" w:firstLineChars="200"/>
              <w:rPr>
                <w:color w:val="000000"/>
                <w:kern w:val="0"/>
                <w:szCs w:val="24"/>
                <w:lang w:val="zh-CN"/>
              </w:rPr>
            </w:pPr>
            <w:r>
              <w:rPr>
                <w:rFonts w:hint="eastAsia"/>
                <w:color w:val="000000"/>
                <w:kern w:val="0"/>
                <w:szCs w:val="24"/>
                <w:lang w:val="zh-CN"/>
              </w:rPr>
              <w:t>在满足采购人的服务要求及标准前提下，比较各供应商提交的</w:t>
            </w:r>
            <w:r>
              <w:rPr>
                <w:rFonts w:hint="eastAsia" w:ascii="宋体" w:hAnsi="宋体" w:cs="宋体"/>
                <w:color w:val="000000"/>
                <w:kern w:val="0"/>
                <w:szCs w:val="24"/>
              </w:rPr>
              <w:t>方案措施及</w:t>
            </w:r>
            <w:r>
              <w:rPr>
                <w:rFonts w:hint="eastAsia"/>
                <w:color w:val="000000"/>
                <w:kern w:val="0"/>
                <w:szCs w:val="24"/>
                <w:lang w:val="zh-CN"/>
              </w:rPr>
              <w:t>售后服务方案，根据方案措施、售后服务方案及优惠承诺描述情况进行打分。</w:t>
            </w:r>
          </w:p>
          <w:p>
            <w:pPr>
              <w:spacing w:line="360" w:lineRule="auto"/>
              <w:ind w:firstLine="420" w:firstLineChars="200"/>
              <w:rPr>
                <w:color w:val="000000"/>
                <w:kern w:val="0"/>
                <w:szCs w:val="24"/>
                <w:lang w:val="zh-CN"/>
              </w:rPr>
            </w:pPr>
            <w:r>
              <w:rPr>
                <w:color w:val="000000"/>
                <w:kern w:val="0"/>
                <w:szCs w:val="24"/>
                <w:lang w:val="zh-CN"/>
              </w:rPr>
              <w:t>1</w:t>
            </w:r>
            <w:r>
              <w:rPr>
                <w:rFonts w:hint="eastAsia"/>
                <w:color w:val="000000"/>
                <w:kern w:val="0"/>
                <w:szCs w:val="24"/>
                <w:lang w:val="zh-CN"/>
              </w:rPr>
              <w:t>、技术方案先进、合理、完整，思路清晰，符合国家相关标准和规范，完全满足采购需求。</w:t>
            </w:r>
          </w:p>
          <w:p>
            <w:pPr>
              <w:spacing w:line="360" w:lineRule="auto"/>
              <w:ind w:firstLine="420" w:firstLineChars="200"/>
              <w:rPr>
                <w:color w:val="000000"/>
                <w:kern w:val="0"/>
                <w:szCs w:val="24"/>
                <w:lang w:val="zh-CN"/>
              </w:rPr>
            </w:pPr>
            <w:r>
              <w:rPr>
                <w:color w:val="000000"/>
                <w:kern w:val="0"/>
                <w:szCs w:val="24"/>
              </w:rPr>
              <w:t>2</w:t>
            </w:r>
            <w:r>
              <w:rPr>
                <w:rFonts w:hint="eastAsia"/>
                <w:color w:val="000000"/>
                <w:kern w:val="0"/>
                <w:szCs w:val="24"/>
              </w:rPr>
              <w:t>、</w:t>
            </w:r>
            <w:r>
              <w:rPr>
                <w:rFonts w:hint="eastAsia"/>
                <w:color w:val="000000"/>
                <w:kern w:val="0"/>
                <w:szCs w:val="24"/>
                <w:lang w:val="zh-CN"/>
              </w:rPr>
              <w:t>售后服务内容，方式详尽的程度，流程明朗清晰程度。</w:t>
            </w:r>
          </w:p>
          <w:p>
            <w:pPr>
              <w:spacing w:line="360" w:lineRule="auto"/>
              <w:ind w:firstLine="420" w:firstLineChars="200"/>
              <w:rPr>
                <w:color w:val="000000"/>
                <w:kern w:val="0"/>
                <w:szCs w:val="24"/>
                <w:lang w:val="zh-CN"/>
              </w:rPr>
            </w:pPr>
            <w:r>
              <w:rPr>
                <w:color w:val="000000"/>
                <w:kern w:val="0"/>
                <w:szCs w:val="24"/>
              </w:rPr>
              <w:t>3</w:t>
            </w:r>
            <w:r>
              <w:rPr>
                <w:rFonts w:hint="eastAsia"/>
                <w:color w:val="000000"/>
                <w:kern w:val="0"/>
                <w:szCs w:val="24"/>
              </w:rPr>
              <w:t>、</w:t>
            </w:r>
            <w:r>
              <w:rPr>
                <w:rFonts w:hint="eastAsia"/>
                <w:color w:val="000000"/>
                <w:kern w:val="0"/>
                <w:szCs w:val="24"/>
                <w:lang w:val="zh-CN"/>
              </w:rPr>
              <w:t>售后服务保障体系及人员配置合理完备程度。</w:t>
            </w:r>
          </w:p>
          <w:p>
            <w:pPr>
              <w:spacing w:line="360" w:lineRule="auto"/>
              <w:ind w:firstLine="420" w:firstLineChars="200"/>
              <w:rPr>
                <w:color w:val="000000"/>
                <w:kern w:val="0"/>
                <w:szCs w:val="24"/>
                <w:lang w:val="zh-CN"/>
              </w:rPr>
            </w:pPr>
            <w:r>
              <w:rPr>
                <w:color w:val="000000"/>
                <w:kern w:val="0"/>
                <w:szCs w:val="24"/>
              </w:rPr>
              <w:t>4</w:t>
            </w:r>
            <w:r>
              <w:rPr>
                <w:rFonts w:hint="eastAsia"/>
                <w:color w:val="000000"/>
                <w:kern w:val="0"/>
                <w:szCs w:val="24"/>
              </w:rPr>
              <w:t>、</w:t>
            </w:r>
            <w:r>
              <w:rPr>
                <w:rFonts w:hint="eastAsia"/>
                <w:color w:val="000000"/>
                <w:kern w:val="0"/>
                <w:szCs w:val="24"/>
                <w:lang w:val="zh-CN"/>
              </w:rPr>
              <w:t>对本项目的合理化建议，及对在质保期内、质保期外的服务计划、承诺等有其他实质性优惠。</w:t>
            </w:r>
          </w:p>
          <w:p>
            <w:pPr>
              <w:jc w:val="left"/>
              <w:rPr>
                <w:rFonts w:ascii="Times New Roman" w:hAnsi="宋体"/>
                <w:color w:val="000000"/>
                <w:szCs w:val="24"/>
                <w:lang w:val="zh-CN"/>
              </w:rPr>
            </w:pPr>
            <w:r>
              <w:rPr>
                <w:rFonts w:hint="eastAsia" w:ascii="Times New Roman" w:hAnsi="宋体"/>
                <w:color w:val="000000"/>
                <w:szCs w:val="24"/>
                <w:lang w:val="zh-CN"/>
              </w:rPr>
              <w:t>以上</w:t>
            </w:r>
            <w:r>
              <w:rPr>
                <w:rFonts w:ascii="Times New Roman" w:hAnsi="宋体"/>
                <w:color w:val="000000"/>
                <w:szCs w:val="24"/>
                <w:lang w:val="zh-CN"/>
              </w:rPr>
              <w:t>1-4</w:t>
            </w:r>
            <w:r>
              <w:rPr>
                <w:rFonts w:hint="eastAsia" w:ascii="Times New Roman" w:hAnsi="宋体"/>
                <w:color w:val="000000"/>
                <w:szCs w:val="24"/>
                <w:lang w:val="zh-CN"/>
              </w:rPr>
              <w:t>项由评委根据各供应商响应程度酌情在给定分值范围内量化打分，</w:t>
            </w:r>
            <w:r>
              <w:rPr>
                <w:rFonts w:hint="eastAsia"/>
                <w:color w:val="000000"/>
                <w:kern w:val="0"/>
                <w:szCs w:val="24"/>
                <w:lang w:val="zh-CN"/>
              </w:rPr>
              <w:t>优得</w:t>
            </w:r>
            <w:r>
              <w:rPr>
                <w:color w:val="000000"/>
                <w:kern w:val="0"/>
                <w:szCs w:val="24"/>
                <w:lang w:val="zh-CN"/>
              </w:rPr>
              <w:t>[</w:t>
            </w:r>
            <w:r>
              <w:rPr>
                <w:color w:val="000000"/>
                <w:kern w:val="0"/>
                <w:szCs w:val="24"/>
              </w:rPr>
              <w:t>9~13</w:t>
            </w:r>
            <w:r>
              <w:rPr>
                <w:rFonts w:ascii="Times New Roman" w:hAnsi="宋体"/>
                <w:color w:val="000000"/>
                <w:szCs w:val="24"/>
                <w:lang w:val="zh-CN"/>
              </w:rPr>
              <w:t>]</w:t>
            </w:r>
            <w:r>
              <w:rPr>
                <w:rFonts w:hint="eastAsia"/>
                <w:color w:val="000000"/>
                <w:kern w:val="0"/>
                <w:szCs w:val="24"/>
                <w:lang w:val="zh-CN"/>
              </w:rPr>
              <w:t>分、良得</w:t>
            </w:r>
            <w:r>
              <w:rPr>
                <w:rFonts w:ascii="Times New Roman" w:hAnsi="Times New Roman"/>
                <w:color w:val="000000"/>
                <w:szCs w:val="24"/>
                <w:lang w:val="zh-CN"/>
              </w:rPr>
              <w:t>[</w:t>
            </w:r>
            <w:r>
              <w:rPr>
                <w:color w:val="000000"/>
                <w:kern w:val="0"/>
                <w:szCs w:val="24"/>
                <w:lang w:val="zh-CN"/>
              </w:rPr>
              <w:t>6~</w:t>
            </w:r>
            <w:r>
              <w:rPr>
                <w:color w:val="000000"/>
                <w:kern w:val="0"/>
                <w:szCs w:val="24"/>
              </w:rPr>
              <w:t>9</w:t>
            </w:r>
            <w:r>
              <w:rPr>
                <w:rFonts w:ascii="Times New Roman" w:hAnsi="宋体"/>
                <w:color w:val="000000"/>
                <w:szCs w:val="24"/>
                <w:lang w:val="zh-CN"/>
              </w:rPr>
              <w:t>)</w:t>
            </w:r>
            <w:r>
              <w:rPr>
                <w:rFonts w:hint="eastAsia"/>
                <w:color w:val="000000"/>
                <w:kern w:val="0"/>
                <w:szCs w:val="24"/>
                <w:lang w:val="zh-CN"/>
              </w:rPr>
              <w:t>分、中得</w:t>
            </w:r>
            <w:r>
              <w:rPr>
                <w:rFonts w:ascii="Times New Roman" w:hAnsi="宋体"/>
                <w:color w:val="000000"/>
                <w:szCs w:val="24"/>
                <w:lang w:val="zh-CN"/>
              </w:rPr>
              <w:t>[</w:t>
            </w:r>
            <w:r>
              <w:rPr>
                <w:color w:val="000000"/>
                <w:kern w:val="0"/>
                <w:szCs w:val="24"/>
                <w:lang w:val="zh-CN"/>
              </w:rPr>
              <w:t>3~</w:t>
            </w:r>
            <w:r>
              <w:rPr>
                <w:color w:val="000000"/>
                <w:kern w:val="0"/>
                <w:szCs w:val="24"/>
              </w:rPr>
              <w:t>6</w:t>
            </w:r>
            <w:r>
              <w:rPr>
                <w:rFonts w:ascii="Times New Roman" w:hAnsi="宋体"/>
                <w:color w:val="000000"/>
                <w:szCs w:val="24"/>
                <w:lang w:val="zh-CN"/>
              </w:rPr>
              <w:t>)</w:t>
            </w:r>
            <w:r>
              <w:rPr>
                <w:rFonts w:hint="eastAsia" w:ascii="Times New Roman" w:hAnsi="宋体"/>
                <w:color w:val="000000"/>
                <w:szCs w:val="24"/>
                <w:lang w:val="zh-CN"/>
              </w:rPr>
              <w:t>分、</w:t>
            </w:r>
            <w:r>
              <w:rPr>
                <w:rFonts w:hint="eastAsia"/>
                <w:color w:val="000000"/>
                <w:kern w:val="0"/>
                <w:szCs w:val="24"/>
                <w:lang w:val="zh-CN"/>
              </w:rPr>
              <w:t>差得</w:t>
            </w:r>
            <w:r>
              <w:rPr>
                <w:rFonts w:ascii="Times New Roman" w:hAnsi="宋体"/>
                <w:color w:val="000000"/>
                <w:szCs w:val="24"/>
                <w:lang w:val="zh-CN"/>
              </w:rPr>
              <w:t>[</w:t>
            </w:r>
            <w:r>
              <w:rPr>
                <w:color w:val="000000"/>
                <w:kern w:val="0"/>
                <w:szCs w:val="24"/>
                <w:lang w:val="zh-CN"/>
              </w:rPr>
              <w:t>1~3</w:t>
            </w:r>
            <w:r>
              <w:rPr>
                <w:rFonts w:ascii="Times New Roman" w:hAnsi="宋体"/>
                <w:color w:val="000000"/>
                <w:szCs w:val="24"/>
                <w:lang w:val="zh-CN"/>
              </w:rPr>
              <w:t>)</w:t>
            </w:r>
            <w:r>
              <w:rPr>
                <w:rFonts w:hint="eastAsia"/>
                <w:color w:val="000000"/>
                <w:kern w:val="0"/>
                <w:szCs w:val="24"/>
                <w:lang w:val="zh-CN"/>
              </w:rPr>
              <w:t>分。</w:t>
            </w:r>
          </w:p>
          <w:p>
            <w:pPr>
              <w:jc w:val="left"/>
              <w:rPr>
                <w:rFonts w:ascii="宋体" w:cs="宋体"/>
                <w:color w:val="000000"/>
                <w:kern w:val="0"/>
                <w:sz w:val="24"/>
                <w:szCs w:val="24"/>
              </w:rPr>
            </w:pPr>
            <w:r>
              <w:rPr>
                <w:rFonts w:hint="eastAsia" w:ascii="Times New Roman" w:hAnsi="宋体"/>
                <w:color w:val="000000"/>
                <w:szCs w:val="24"/>
                <w:lang w:val="zh-CN"/>
              </w:rPr>
              <w:t>如有缺项，按</w:t>
            </w:r>
            <w:r>
              <w:rPr>
                <w:rFonts w:ascii="Times New Roman" w:hAnsi="宋体"/>
                <w:color w:val="000000"/>
                <w:szCs w:val="24"/>
                <w:lang w:val="zh-CN"/>
              </w:rPr>
              <w:t>0</w:t>
            </w:r>
            <w:r>
              <w:rPr>
                <w:rFonts w:hint="eastAsia" w:ascii="Times New Roman" w:hAnsi="宋体"/>
                <w:color w:val="000000"/>
                <w:szCs w:val="24"/>
                <w:lang w:val="zh-CN"/>
              </w:rPr>
              <w:t>分计。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trPr>
        <w:tc>
          <w:tcPr>
            <w:tcW w:w="1066" w:type="dxa"/>
            <w:vMerge w:val="continue"/>
          </w:tcPr>
          <w:p>
            <w:pPr>
              <w:spacing w:line="360" w:lineRule="auto"/>
              <w:jc w:val="left"/>
              <w:rPr>
                <w:rFonts w:ascii="宋体" w:cs="宋体"/>
                <w:color w:val="000000"/>
                <w:kern w:val="0"/>
                <w:szCs w:val="24"/>
                <w:lang w:val="zh-CN"/>
              </w:rPr>
            </w:pPr>
          </w:p>
        </w:tc>
        <w:tc>
          <w:tcPr>
            <w:tcW w:w="1305" w:type="dxa"/>
            <w:vAlign w:val="center"/>
          </w:tcPr>
          <w:p>
            <w:pPr>
              <w:jc w:val="left"/>
              <w:rPr>
                <w:rFonts w:ascii="Times New Roman" w:hAnsi="宋体"/>
                <w:color w:val="000000"/>
                <w:szCs w:val="24"/>
              </w:rPr>
            </w:pPr>
            <w:r>
              <w:rPr>
                <w:rFonts w:hint="eastAsia" w:ascii="Times New Roman" w:hAnsi="宋体"/>
                <w:color w:val="000000"/>
                <w:szCs w:val="24"/>
              </w:rPr>
              <w:t>企业业绩（</w:t>
            </w:r>
            <w:r>
              <w:rPr>
                <w:rFonts w:ascii="Times New Roman" w:hAnsi="宋体"/>
                <w:color w:val="000000"/>
                <w:szCs w:val="24"/>
              </w:rPr>
              <w:t>4</w:t>
            </w:r>
            <w:r>
              <w:rPr>
                <w:rFonts w:hint="eastAsia" w:ascii="Times New Roman" w:hAnsi="宋体"/>
                <w:color w:val="000000"/>
                <w:szCs w:val="24"/>
              </w:rPr>
              <w:t>分）</w:t>
            </w:r>
          </w:p>
        </w:tc>
        <w:tc>
          <w:tcPr>
            <w:tcW w:w="7454" w:type="dxa"/>
            <w:vAlign w:val="center"/>
          </w:tcPr>
          <w:p>
            <w:pPr>
              <w:ind w:firstLine="420" w:firstLineChars="200"/>
              <w:jc w:val="left"/>
              <w:rPr>
                <w:rFonts w:ascii="Times New Roman" w:hAnsi="宋体"/>
                <w:color w:val="000000"/>
                <w:szCs w:val="24"/>
              </w:rPr>
            </w:pPr>
            <w:r>
              <w:rPr>
                <w:rFonts w:hint="eastAsia" w:ascii="Times New Roman" w:hAnsi="宋体"/>
                <w:color w:val="000000"/>
                <w:szCs w:val="24"/>
              </w:rPr>
              <w:t>所投产品用户案例应为同等规模以上医院案例，每提供</w:t>
            </w:r>
            <w:r>
              <w:rPr>
                <w:rFonts w:ascii="Times New Roman" w:hAnsi="宋体"/>
                <w:color w:val="000000"/>
                <w:szCs w:val="24"/>
              </w:rPr>
              <w:t>1</w:t>
            </w:r>
            <w:r>
              <w:rPr>
                <w:rFonts w:hint="eastAsia" w:ascii="Times New Roman" w:hAnsi="宋体"/>
                <w:color w:val="000000"/>
                <w:szCs w:val="24"/>
              </w:rPr>
              <w:t>家得</w:t>
            </w:r>
            <w:r>
              <w:rPr>
                <w:rFonts w:ascii="Times New Roman" w:hAnsi="宋体"/>
                <w:color w:val="000000"/>
                <w:szCs w:val="24"/>
              </w:rPr>
              <w:t>2</w:t>
            </w:r>
            <w:r>
              <w:rPr>
                <w:rFonts w:hint="eastAsia" w:ascii="Times New Roman" w:hAnsi="宋体"/>
                <w:color w:val="000000"/>
                <w:szCs w:val="24"/>
              </w:rPr>
              <w:t>分，满分</w:t>
            </w:r>
            <w:r>
              <w:rPr>
                <w:rFonts w:ascii="Times New Roman" w:hAnsi="宋体"/>
                <w:color w:val="000000"/>
                <w:szCs w:val="24"/>
              </w:rPr>
              <w:t>4</w:t>
            </w:r>
            <w:r>
              <w:rPr>
                <w:rFonts w:hint="eastAsia" w:ascii="Times New Roman" w:hAnsi="宋体"/>
                <w:color w:val="000000"/>
                <w:szCs w:val="24"/>
              </w:rPr>
              <w:t>分。</w:t>
            </w:r>
          </w:p>
          <w:p>
            <w:pPr>
              <w:ind w:firstLine="420" w:firstLineChars="200"/>
              <w:jc w:val="left"/>
              <w:rPr>
                <w:rFonts w:ascii="Times New Roman" w:hAnsi="宋体"/>
                <w:color w:val="000000"/>
                <w:szCs w:val="24"/>
              </w:rPr>
            </w:pPr>
            <w:r>
              <w:rPr>
                <w:rFonts w:hint="eastAsia" w:ascii="Times New Roman" w:hAnsi="宋体"/>
                <w:color w:val="000000"/>
                <w:szCs w:val="24"/>
              </w:rPr>
              <w:t>注：投标文件中上传合同原件扫描件，供评委会查验。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1" w:hRule="atLeast"/>
        </w:trPr>
        <w:tc>
          <w:tcPr>
            <w:tcW w:w="1066" w:type="dxa"/>
            <w:vMerge w:val="continue"/>
          </w:tcPr>
          <w:p>
            <w:pPr>
              <w:spacing w:line="360" w:lineRule="auto"/>
              <w:jc w:val="left"/>
              <w:rPr>
                <w:rFonts w:ascii="宋体" w:cs="宋体"/>
                <w:color w:val="000000"/>
                <w:kern w:val="0"/>
                <w:szCs w:val="24"/>
                <w:lang w:val="zh-CN"/>
              </w:rPr>
            </w:pPr>
          </w:p>
        </w:tc>
        <w:tc>
          <w:tcPr>
            <w:tcW w:w="1305" w:type="dxa"/>
            <w:vAlign w:val="center"/>
          </w:tcPr>
          <w:p>
            <w:pPr>
              <w:jc w:val="left"/>
              <w:rPr>
                <w:rFonts w:ascii="Times New Roman" w:hAnsi="宋体"/>
                <w:color w:val="000000"/>
                <w:szCs w:val="24"/>
              </w:rPr>
            </w:pPr>
            <w:r>
              <w:rPr>
                <w:rFonts w:hint="eastAsia" w:ascii="Times New Roman" w:hAnsi="宋体"/>
                <w:color w:val="000000"/>
                <w:szCs w:val="24"/>
              </w:rPr>
              <w:t>投标文件规范程度（</w:t>
            </w:r>
            <w:r>
              <w:rPr>
                <w:rFonts w:ascii="Times New Roman" w:hAnsi="宋体"/>
                <w:color w:val="000000"/>
                <w:szCs w:val="24"/>
              </w:rPr>
              <w:t>3</w:t>
            </w:r>
            <w:r>
              <w:rPr>
                <w:rFonts w:hint="eastAsia" w:ascii="Times New Roman" w:hAnsi="宋体"/>
                <w:color w:val="000000"/>
                <w:szCs w:val="24"/>
              </w:rPr>
              <w:t>分）</w:t>
            </w:r>
          </w:p>
        </w:tc>
        <w:tc>
          <w:tcPr>
            <w:tcW w:w="7454" w:type="dxa"/>
            <w:vAlign w:val="center"/>
          </w:tcPr>
          <w:p>
            <w:pPr>
              <w:spacing w:line="360" w:lineRule="auto"/>
              <w:ind w:firstLine="420" w:firstLineChars="200"/>
              <w:rPr>
                <w:color w:val="000000"/>
                <w:kern w:val="0"/>
                <w:szCs w:val="24"/>
                <w:lang w:val="zh-CN"/>
              </w:rPr>
            </w:pPr>
            <w:r>
              <w:rPr>
                <w:rFonts w:hint="eastAsia" w:ascii="Times New Roman" w:hAnsi="宋体"/>
                <w:color w:val="000000"/>
                <w:szCs w:val="24"/>
              </w:rPr>
              <w:t>投标文件制作规范、整洁、完整、无错误，目录页码清析，</w:t>
            </w:r>
            <w:r>
              <w:rPr>
                <w:rFonts w:hint="eastAsia" w:ascii="Times New Roman" w:hAnsi="宋体"/>
                <w:color w:val="000000"/>
                <w:szCs w:val="24"/>
                <w:lang w:val="zh-CN"/>
              </w:rPr>
              <w:t>由评委根据各供应商响应程度酌情在给定分值范围内量化打分，</w:t>
            </w:r>
            <w:r>
              <w:rPr>
                <w:rFonts w:hint="eastAsia"/>
                <w:color w:val="000000"/>
                <w:kern w:val="0"/>
                <w:szCs w:val="24"/>
                <w:lang w:val="zh-CN"/>
              </w:rPr>
              <w:t>优得</w:t>
            </w:r>
            <w:r>
              <w:rPr>
                <w:color w:val="000000"/>
                <w:kern w:val="0"/>
                <w:szCs w:val="24"/>
                <w:lang w:val="zh-CN"/>
              </w:rPr>
              <w:t>3</w:t>
            </w:r>
            <w:r>
              <w:rPr>
                <w:rFonts w:hint="eastAsia"/>
                <w:color w:val="000000"/>
                <w:kern w:val="0"/>
                <w:szCs w:val="24"/>
                <w:lang w:val="zh-CN"/>
              </w:rPr>
              <w:t>分、良得</w:t>
            </w:r>
            <w:r>
              <w:rPr>
                <w:rFonts w:ascii="Times New Roman" w:hAnsi="宋体"/>
                <w:color w:val="000000"/>
                <w:szCs w:val="24"/>
                <w:lang w:val="zh-CN"/>
              </w:rPr>
              <w:t>2</w:t>
            </w:r>
            <w:r>
              <w:rPr>
                <w:rFonts w:hint="eastAsia"/>
                <w:color w:val="000000"/>
                <w:kern w:val="0"/>
                <w:szCs w:val="24"/>
                <w:lang w:val="zh-CN"/>
              </w:rPr>
              <w:t>分、中得</w:t>
            </w:r>
            <w:r>
              <w:rPr>
                <w:color w:val="000000"/>
                <w:kern w:val="0"/>
                <w:szCs w:val="24"/>
                <w:lang w:val="zh-CN"/>
              </w:rPr>
              <w:t>1</w:t>
            </w:r>
            <w:r>
              <w:rPr>
                <w:rFonts w:hint="eastAsia"/>
                <w:color w:val="000000"/>
                <w:kern w:val="0"/>
                <w:szCs w:val="24"/>
                <w:lang w:val="zh-CN"/>
              </w:rPr>
              <w:t>分，差得</w:t>
            </w:r>
            <w:r>
              <w:rPr>
                <w:rFonts w:ascii="Times New Roman" w:hAnsi="宋体"/>
                <w:color w:val="000000"/>
                <w:szCs w:val="24"/>
                <w:lang w:val="zh-CN"/>
              </w:rPr>
              <w:t>0</w:t>
            </w:r>
            <w:r>
              <w:rPr>
                <w:rFonts w:hint="eastAsia"/>
                <w:color w:val="000000"/>
                <w:kern w:val="0"/>
                <w:szCs w:val="24"/>
                <w:lang w:val="zh-CN"/>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4" w:hRule="exact"/>
        </w:trPr>
        <w:tc>
          <w:tcPr>
            <w:tcW w:w="9825" w:type="dxa"/>
            <w:gridSpan w:val="3"/>
            <w:tcBorders>
              <w:bottom w:val="single" w:color="auto" w:sz="12" w:space="0"/>
            </w:tcBorders>
            <w:vAlign w:val="center"/>
          </w:tcPr>
          <w:p>
            <w:pPr>
              <w:spacing w:line="360" w:lineRule="auto"/>
              <w:ind w:firstLine="420" w:firstLineChars="200"/>
              <w:rPr>
                <w:rFonts w:ascii="宋体" w:hAnsi="宋体" w:eastAsia="黑体" w:cs="宋体"/>
                <w:color w:val="000000"/>
                <w:kern w:val="0"/>
                <w:szCs w:val="24"/>
              </w:rPr>
            </w:pPr>
            <w:r>
              <w:rPr>
                <w:rFonts w:hint="eastAsia" w:ascii="Times New Roman" w:hAnsi="宋体"/>
                <w:color w:val="000000"/>
                <w:szCs w:val="24"/>
              </w:rPr>
              <w:t>初步评审包括形式评审、资格评审和响应性评审。评标委员会成员独立对投标文件进行初步评审，如有一项内容不合格，作否决投标处理，即不能进入下一环节。</w:t>
            </w:r>
          </w:p>
        </w:tc>
      </w:tr>
    </w:tbl>
    <w:p>
      <w:pPr>
        <w:rPr>
          <w:vanish/>
          <w:color w:val="000000"/>
          <w:kern w:val="0"/>
          <w:szCs w:val="24"/>
        </w:rPr>
      </w:pPr>
    </w:p>
    <w:p>
      <w:pPr>
        <w:spacing w:line="360" w:lineRule="auto"/>
        <w:ind w:firstLine="420" w:firstLineChars="200"/>
        <w:rPr>
          <w:color w:val="000000"/>
          <w:kern w:val="0"/>
          <w:szCs w:val="24"/>
        </w:rPr>
      </w:pPr>
    </w:p>
    <w:p>
      <w:pPr>
        <w:spacing w:line="500" w:lineRule="exact"/>
        <w:rPr>
          <w:b/>
          <w:bCs/>
          <w:kern w:val="0"/>
          <w:sz w:val="24"/>
          <w:szCs w:val="21"/>
        </w:rPr>
      </w:pPr>
      <w:r>
        <w:rPr>
          <w:b/>
          <w:bCs/>
          <w:kern w:val="0"/>
          <w:sz w:val="24"/>
          <w:szCs w:val="21"/>
        </w:rPr>
        <w:t>1.</w:t>
      </w:r>
      <w:r>
        <w:rPr>
          <w:rFonts w:hint="eastAsia"/>
          <w:b/>
          <w:bCs/>
          <w:kern w:val="0"/>
          <w:sz w:val="24"/>
          <w:szCs w:val="21"/>
        </w:rPr>
        <w:t>关于中小企业、监狱企业、残疾人福利性单位参加投标的规定</w:t>
      </w:r>
      <w:bookmarkStart w:id="4" w:name="_Toc419645323"/>
    </w:p>
    <w:p>
      <w:pPr>
        <w:spacing w:before="120" w:line="360" w:lineRule="auto"/>
        <w:ind w:firstLine="422" w:firstLineChars="200"/>
        <w:rPr>
          <w:rFonts w:ascii="宋体"/>
          <w:b/>
          <w:bCs/>
          <w:kern w:val="0"/>
          <w:sz w:val="24"/>
          <w:szCs w:val="24"/>
        </w:rPr>
      </w:pPr>
      <w:r>
        <w:rPr>
          <w:b/>
          <w:bCs/>
          <w:kern w:val="0"/>
        </w:rPr>
        <w:t xml:space="preserve">1.1 </w:t>
      </w:r>
      <w:r>
        <w:rPr>
          <w:rFonts w:hint="eastAsia" w:ascii="宋体" w:hAnsi="宋体"/>
          <w:b/>
          <w:bCs/>
          <w:kern w:val="0"/>
          <w:sz w:val="24"/>
          <w:szCs w:val="24"/>
        </w:rPr>
        <w:t>关于投标的规定</w:t>
      </w:r>
      <w:bookmarkEnd w:id="4"/>
    </w:p>
    <w:p>
      <w:pPr>
        <w:spacing w:line="360" w:lineRule="auto"/>
        <w:ind w:firstLine="480" w:firstLineChars="200"/>
        <w:rPr>
          <w:rFonts w:ascii="宋体" w:cs="宋体"/>
          <w:sz w:val="24"/>
          <w:szCs w:val="24"/>
        </w:rPr>
      </w:pPr>
      <w:r>
        <w:rPr>
          <w:rFonts w:ascii="宋体" w:hAnsi="宋体" w:cs="宋体"/>
          <w:sz w:val="24"/>
          <w:szCs w:val="24"/>
        </w:rPr>
        <w:t>1.1.1</w:t>
      </w:r>
      <w:r>
        <w:rPr>
          <w:rFonts w:hint="eastAsia" w:ascii="宋体" w:hAnsi="宋体" w:cs="宋体"/>
          <w:sz w:val="24"/>
          <w:szCs w:val="24"/>
        </w:rPr>
        <w:t>中小企业。符合工信部联企业</w:t>
      </w:r>
      <w:r>
        <w:rPr>
          <w:rFonts w:ascii="宋体" w:hAnsi="宋体" w:cs="宋体"/>
          <w:sz w:val="24"/>
          <w:szCs w:val="24"/>
        </w:rPr>
        <w:t>[2011]300</w:t>
      </w:r>
      <w:r>
        <w:rPr>
          <w:rFonts w:hint="eastAsia" w:ascii="宋体" w:hAnsi="宋体" w:cs="宋体"/>
          <w:sz w:val="24"/>
          <w:szCs w:val="24"/>
        </w:rPr>
        <w:t>号文件中小企业划型标准规定，以中小企业身份参加投标时，应提供规定格式的《中小企业声明函》（格式见附件）</w:t>
      </w:r>
      <w:bookmarkStart w:id="5" w:name="_Toc419645324"/>
    </w:p>
    <w:p>
      <w:pPr>
        <w:spacing w:line="360" w:lineRule="auto"/>
        <w:ind w:firstLine="480" w:firstLineChars="200"/>
        <w:rPr>
          <w:rFonts w:ascii="宋体" w:cs="宋体"/>
          <w:sz w:val="24"/>
          <w:szCs w:val="24"/>
        </w:rPr>
      </w:pPr>
      <w:r>
        <w:rPr>
          <w:rFonts w:ascii="宋体" w:hAnsi="宋体" w:cs="宋体"/>
          <w:sz w:val="24"/>
          <w:szCs w:val="24"/>
        </w:rPr>
        <w:t>1.1.2</w:t>
      </w:r>
      <w:r>
        <w:rPr>
          <w:rFonts w:hint="eastAsia" w:ascii="宋体" w:hAnsi="宋体" w:cs="宋体"/>
          <w:sz w:val="24"/>
          <w:szCs w:val="24"/>
        </w:rPr>
        <w:t>监狱企业。监狱企业参加政府采购活动时，应当提供由省级以上监狱管理局、戒毒管理局（含新疆生产建设兵团）出具的属于监狱企业的证明文件，才可享受相关政策。</w:t>
      </w:r>
      <w:r>
        <w:rPr>
          <w:rFonts w:ascii="宋体" w:cs="宋体"/>
          <w:sz w:val="24"/>
          <w:szCs w:val="24"/>
        </w:rPr>
        <w:br w:type="textWrapping"/>
      </w:r>
      <w:r>
        <w:rPr>
          <w:rFonts w:hint="eastAsia" w:ascii="宋体" w:hAnsi="宋体" w:cs="宋体"/>
          <w:sz w:val="24"/>
          <w:szCs w:val="24"/>
        </w:rPr>
        <w:t>　　在政府采购活动中监狱企业视同小型、微型企业并适用其相关规定，提供本企业制造的货物、承担的工程或服务，享受预留份额、评审中价格扣除等政府采购促进中小企业发展的政府采购政策。</w:t>
      </w:r>
    </w:p>
    <w:p>
      <w:pPr>
        <w:spacing w:line="360" w:lineRule="auto"/>
        <w:ind w:firstLine="480" w:firstLineChars="200"/>
        <w:rPr>
          <w:rFonts w:ascii="宋体" w:cs="宋体"/>
          <w:sz w:val="24"/>
          <w:szCs w:val="24"/>
        </w:rPr>
      </w:pPr>
      <w:r>
        <w:rPr>
          <w:rFonts w:ascii="宋体" w:hAnsi="宋体" w:cs="宋体"/>
          <w:sz w:val="24"/>
          <w:szCs w:val="24"/>
        </w:rPr>
        <w:t>1.1.3</w:t>
      </w:r>
      <w:r>
        <w:rPr>
          <w:rFonts w:hint="eastAsia" w:ascii="宋体" w:hAnsi="宋体" w:cs="宋体"/>
          <w:sz w:val="24"/>
          <w:szCs w:val="24"/>
        </w:rPr>
        <w:t>残疾人福利性单位。</w:t>
      </w:r>
    </w:p>
    <w:p>
      <w:pPr>
        <w:spacing w:line="360" w:lineRule="auto"/>
        <w:ind w:firstLine="480" w:firstLineChars="200"/>
        <w:rPr>
          <w:rFonts w:ascii="宋体" w:cs="宋体"/>
          <w:sz w:val="24"/>
          <w:szCs w:val="24"/>
        </w:rPr>
      </w:pPr>
      <w:r>
        <w:rPr>
          <w:rFonts w:ascii="宋体" w:hAnsi="宋体" w:cs="宋体"/>
          <w:sz w:val="24"/>
          <w:szCs w:val="24"/>
        </w:rPr>
        <w:t>1.1.3.1</w:t>
      </w:r>
      <w:r>
        <w:rPr>
          <w:rFonts w:hint="eastAsia" w:ascii="宋体" w:hAnsi="宋体" w:cs="宋体"/>
          <w:sz w:val="24"/>
          <w:szCs w:val="24"/>
        </w:rPr>
        <w:t>享受政府采购支持政策的残疾人福利性单位应当同时满足以下条件：</w:t>
      </w:r>
    </w:p>
    <w:p>
      <w:pPr>
        <w:spacing w:line="360" w:lineRule="auto"/>
        <w:ind w:firstLine="480" w:firstLineChars="200"/>
        <w:rPr>
          <w:rFonts w:ascii="宋体" w:cs="宋体"/>
          <w:sz w:val="24"/>
          <w:szCs w:val="24"/>
        </w:rPr>
      </w:pPr>
      <w:r>
        <w:rPr>
          <w:rFonts w:hint="eastAsia" w:ascii="宋体" w:hAnsi="宋体" w:cs="宋体"/>
          <w:sz w:val="24"/>
          <w:szCs w:val="24"/>
        </w:rPr>
        <w:t>　　（一）安置的残疾人占本单位在职职工人数的比例不低于</w:t>
      </w:r>
      <w:r>
        <w:rPr>
          <w:rFonts w:ascii="宋体" w:hAnsi="宋体" w:cs="宋体"/>
          <w:sz w:val="24"/>
          <w:szCs w:val="24"/>
        </w:rPr>
        <w:t>25%</w:t>
      </w:r>
      <w:r>
        <w:rPr>
          <w:rFonts w:hint="eastAsia" w:ascii="宋体" w:hAnsi="宋体" w:cs="宋体"/>
          <w:sz w:val="24"/>
          <w:szCs w:val="24"/>
        </w:rPr>
        <w:t>（含</w:t>
      </w:r>
      <w:r>
        <w:rPr>
          <w:rFonts w:ascii="宋体" w:hAnsi="宋体" w:cs="宋体"/>
          <w:sz w:val="24"/>
          <w:szCs w:val="24"/>
        </w:rPr>
        <w:t>25%</w:t>
      </w:r>
      <w:r>
        <w:rPr>
          <w:rFonts w:hint="eastAsia" w:ascii="宋体" w:hAnsi="宋体" w:cs="宋体"/>
          <w:sz w:val="24"/>
          <w:szCs w:val="24"/>
        </w:rPr>
        <w:t>），并且安置的残疾人人数不少于</w:t>
      </w:r>
      <w:r>
        <w:rPr>
          <w:rFonts w:ascii="宋体" w:hAnsi="宋体" w:cs="宋体"/>
          <w:sz w:val="24"/>
          <w:szCs w:val="24"/>
        </w:rPr>
        <w:t>10</w:t>
      </w:r>
      <w:r>
        <w:rPr>
          <w:rFonts w:hint="eastAsia" w:ascii="宋体" w:hAnsi="宋体" w:cs="宋体"/>
          <w:sz w:val="24"/>
          <w:szCs w:val="24"/>
        </w:rPr>
        <w:t>人（含</w:t>
      </w:r>
      <w:r>
        <w:rPr>
          <w:rFonts w:ascii="宋体" w:hAnsi="宋体" w:cs="宋体"/>
          <w:sz w:val="24"/>
          <w:szCs w:val="24"/>
        </w:rPr>
        <w:t>10</w:t>
      </w:r>
      <w:r>
        <w:rPr>
          <w:rFonts w:hint="eastAsia" w:ascii="宋体" w:hAnsi="宋体" w:cs="宋体"/>
          <w:sz w:val="24"/>
          <w:szCs w:val="24"/>
        </w:rPr>
        <w:t>人）；</w:t>
      </w:r>
    </w:p>
    <w:p>
      <w:pPr>
        <w:spacing w:line="360" w:lineRule="auto"/>
        <w:ind w:firstLine="480" w:firstLineChars="200"/>
        <w:rPr>
          <w:rFonts w:ascii="宋体" w:cs="宋体"/>
          <w:sz w:val="24"/>
          <w:szCs w:val="24"/>
        </w:rPr>
      </w:pPr>
      <w:r>
        <w:rPr>
          <w:rFonts w:hint="eastAsia" w:ascii="宋体" w:hAnsi="宋体" w:cs="宋体"/>
          <w:sz w:val="24"/>
          <w:szCs w:val="24"/>
        </w:rPr>
        <w:t>　　（二）依法与安置的每位残疾人签订了一年以上（含一年）的劳动合同或服务协议；</w:t>
      </w:r>
    </w:p>
    <w:p>
      <w:pPr>
        <w:spacing w:line="360" w:lineRule="auto"/>
        <w:ind w:firstLine="480" w:firstLineChars="200"/>
        <w:rPr>
          <w:rFonts w:ascii="宋体" w:cs="宋体"/>
          <w:sz w:val="24"/>
          <w:szCs w:val="24"/>
        </w:rPr>
      </w:pPr>
      <w:r>
        <w:rPr>
          <w:rFonts w:hint="eastAsia" w:ascii="宋体" w:hAnsi="宋体" w:cs="宋体"/>
          <w:sz w:val="24"/>
          <w:szCs w:val="24"/>
        </w:rPr>
        <w:t>　　（三）为安置的每位残疾人按月足额缴纳了基本养老保险、基本医疗保险、失业保险、工伤保险和生育保险等社会保险费；</w:t>
      </w:r>
    </w:p>
    <w:p>
      <w:pPr>
        <w:spacing w:line="360" w:lineRule="auto"/>
        <w:ind w:firstLine="480" w:firstLineChars="200"/>
        <w:rPr>
          <w:rFonts w:ascii="宋体" w:cs="宋体"/>
          <w:sz w:val="24"/>
          <w:szCs w:val="24"/>
        </w:rPr>
      </w:pPr>
      <w:r>
        <w:rPr>
          <w:rFonts w:hint="eastAsia" w:ascii="宋体" w:hAnsi="宋体" w:cs="宋体"/>
          <w:sz w:val="24"/>
          <w:szCs w:val="24"/>
        </w:rPr>
        <w:t>　　（四）通过银行等金融机构向安置的每位残疾人，按月支付了不低于单位所在区县适用的经省级人民政府批准的月最低工资标准的工资；</w:t>
      </w:r>
    </w:p>
    <w:p>
      <w:pPr>
        <w:spacing w:line="360" w:lineRule="auto"/>
        <w:ind w:firstLine="480" w:firstLineChars="200"/>
        <w:rPr>
          <w:rFonts w:ascii="宋体" w:cs="宋体"/>
          <w:sz w:val="24"/>
          <w:szCs w:val="24"/>
        </w:rPr>
      </w:pPr>
      <w:r>
        <w:rPr>
          <w:rFonts w:hint="eastAsia" w:ascii="宋体" w:hAnsi="宋体" w:cs="宋体"/>
          <w:sz w:val="24"/>
          <w:szCs w:val="24"/>
        </w:rPr>
        <w:t>　　（五）提供本单位制造的货物、承担的工程或者服务（以下简称产品），或者提供其他残疾人福利性单位制造的货物（不包括使用非残疾人福利性单位注册商标的货物）。</w:t>
      </w:r>
    </w:p>
    <w:p>
      <w:pPr>
        <w:spacing w:line="360" w:lineRule="auto"/>
        <w:ind w:firstLine="480" w:firstLineChars="200"/>
        <w:rPr>
          <w:rFonts w:ascii="宋体" w:cs="宋体"/>
          <w:sz w:val="24"/>
          <w:szCs w:val="24"/>
        </w:rPr>
      </w:pPr>
      <w:r>
        <w:rPr>
          <w:rFonts w:hint="eastAsia" w:ascii="宋体" w:hAnsi="宋体" w:cs="宋体"/>
          <w:sz w:val="24"/>
          <w:szCs w:val="24"/>
        </w:rPr>
        <w:t>　　前款所称残疾人是指法定劳动年龄内，持有《中华人民共和国残疾人证》或者《中华人民共和国残疾军人证（</w:t>
      </w:r>
      <w:r>
        <w:rPr>
          <w:rFonts w:ascii="宋体" w:hAnsi="宋体" w:cs="宋体"/>
          <w:sz w:val="24"/>
          <w:szCs w:val="24"/>
        </w:rPr>
        <w:t>1</w:t>
      </w:r>
      <w:r>
        <w:rPr>
          <w:rFonts w:hint="eastAsia" w:ascii="宋体" w:hAnsi="宋体" w:cs="宋体"/>
          <w:sz w:val="24"/>
          <w:szCs w:val="24"/>
        </w:rPr>
        <w:t>至</w:t>
      </w:r>
      <w:r>
        <w:rPr>
          <w:rFonts w:ascii="宋体" w:hAnsi="宋体" w:cs="宋体"/>
          <w:sz w:val="24"/>
          <w:szCs w:val="24"/>
        </w:rPr>
        <w:t>8</w:t>
      </w:r>
      <w:r>
        <w:rPr>
          <w:rFonts w:hint="eastAsia" w:ascii="宋体" w:hAnsi="宋体" w:cs="宋体"/>
          <w:sz w:val="24"/>
          <w:szCs w:val="24"/>
        </w:rPr>
        <w:t>级）》的自然人，包括具有劳动条件和劳动意愿的精神残疾人。在职职工人数是指与残疾人福利性单位建立劳动关系并依法签订劳动合同或者服务协议的雇员人数。</w:t>
      </w:r>
    </w:p>
    <w:p>
      <w:pPr>
        <w:spacing w:line="360" w:lineRule="auto"/>
        <w:ind w:firstLine="480" w:firstLineChars="200"/>
        <w:rPr>
          <w:rFonts w:ascii="宋体" w:cs="宋体"/>
          <w:sz w:val="24"/>
          <w:szCs w:val="24"/>
        </w:rPr>
      </w:pPr>
      <w:r>
        <w:rPr>
          <w:rFonts w:ascii="宋体" w:hAnsi="宋体" w:cs="宋体"/>
          <w:sz w:val="24"/>
          <w:szCs w:val="24"/>
        </w:rPr>
        <w:t>1.1.3.2</w:t>
      </w:r>
      <w:r>
        <w:rPr>
          <w:rFonts w:hint="eastAsia" w:ascii="宋体" w:hAnsi="宋体" w:cs="宋体"/>
          <w:sz w:val="24"/>
          <w:szCs w:val="24"/>
        </w:rPr>
        <w:t>、符合条件的残疾人福利性单位在参加政府采购活动时，应当提供本通知规定的《残疾人福利性单位声明函》（见附件），并对声明的真实性负责。</w:t>
      </w:r>
    </w:p>
    <w:p>
      <w:pPr>
        <w:spacing w:line="360" w:lineRule="auto"/>
        <w:ind w:firstLine="480" w:firstLineChars="200"/>
        <w:rPr>
          <w:rFonts w:ascii="宋体" w:cs="宋体"/>
          <w:sz w:val="24"/>
          <w:szCs w:val="24"/>
        </w:rPr>
      </w:pPr>
      <w:r>
        <w:rPr>
          <w:rFonts w:hint="eastAsia" w:ascii="宋体" w:hAnsi="宋体" w:cs="宋体"/>
          <w:sz w:val="24"/>
          <w:szCs w:val="24"/>
        </w:rPr>
        <w:t>　　中标、成交供应商为残疾人福利性单位的，采购人或者其委托的采购代理机构随中标、成交结果同时公告其《残疾人福利性单位声明函》（格式见附件），接受社会监督。</w:t>
      </w:r>
    </w:p>
    <w:p>
      <w:pPr>
        <w:spacing w:line="360" w:lineRule="auto"/>
        <w:ind w:firstLine="480" w:firstLineChars="200"/>
        <w:rPr>
          <w:rFonts w:ascii="宋体" w:cs="宋体"/>
          <w:sz w:val="24"/>
          <w:szCs w:val="24"/>
        </w:rPr>
      </w:pPr>
      <w:r>
        <w:rPr>
          <w:rFonts w:hint="eastAsia" w:ascii="宋体" w:hAnsi="宋体" w:cs="宋体"/>
          <w:sz w:val="24"/>
          <w:szCs w:val="24"/>
        </w:rPr>
        <w:t>　　供应商提供的《残疾人福利性单位声明函》与事实不符的，依照《政府采购法》第七十七条第一款和询价文件规定追究法律责任。</w:t>
      </w:r>
    </w:p>
    <w:p>
      <w:pPr>
        <w:spacing w:line="360" w:lineRule="auto"/>
        <w:ind w:firstLine="480" w:firstLineChars="200"/>
        <w:rPr>
          <w:rFonts w:ascii="宋体" w:cs="宋体"/>
          <w:sz w:val="24"/>
          <w:szCs w:val="24"/>
        </w:rPr>
      </w:pPr>
      <w:r>
        <w:rPr>
          <w:rFonts w:ascii="宋体" w:hAnsi="宋体" w:cs="宋体"/>
          <w:sz w:val="24"/>
          <w:szCs w:val="24"/>
        </w:rPr>
        <w:t>1.1.3.3</w:t>
      </w:r>
      <w:r>
        <w:rPr>
          <w:rFonts w:hint="eastAsia" w:ascii="宋体" w:hAnsi="宋体" w:cs="宋体"/>
          <w:sz w:val="24"/>
          <w:szCs w:val="24"/>
        </w:rPr>
        <w:t>、在政府采购活动中残疾人福利性单位视同小型、微型企业并适用其相关规定，提供本企业制造的货物、承担的工程或服务，享受预留份额、评审中价格扣除等促进中小企业发展的政府采购政策。</w:t>
      </w:r>
    </w:p>
    <w:p>
      <w:pPr>
        <w:spacing w:before="120" w:line="360" w:lineRule="auto"/>
        <w:ind w:firstLine="482" w:firstLineChars="200"/>
        <w:rPr>
          <w:rFonts w:ascii="宋体"/>
          <w:b/>
          <w:bCs/>
          <w:kern w:val="0"/>
          <w:sz w:val="24"/>
          <w:szCs w:val="24"/>
        </w:rPr>
      </w:pPr>
      <w:r>
        <w:rPr>
          <w:rFonts w:ascii="宋体" w:hAnsi="宋体"/>
          <w:b/>
          <w:bCs/>
          <w:kern w:val="0"/>
          <w:sz w:val="24"/>
          <w:szCs w:val="24"/>
        </w:rPr>
        <w:t>1.2</w:t>
      </w:r>
      <w:r>
        <w:rPr>
          <w:rFonts w:hint="eastAsia" w:ascii="宋体" w:hAnsi="宋体"/>
          <w:b/>
          <w:bCs/>
          <w:kern w:val="0"/>
          <w:sz w:val="24"/>
          <w:szCs w:val="24"/>
        </w:rPr>
        <w:t>价格扣除的范围</w:t>
      </w:r>
    </w:p>
    <w:p>
      <w:pPr>
        <w:spacing w:line="360" w:lineRule="auto"/>
        <w:ind w:firstLine="480" w:firstLineChars="200"/>
        <w:rPr>
          <w:rFonts w:ascii="宋体" w:cs="宋体"/>
          <w:sz w:val="24"/>
          <w:szCs w:val="24"/>
        </w:rPr>
      </w:pPr>
      <w:r>
        <w:rPr>
          <w:rFonts w:ascii="宋体" w:hAnsi="宋体" w:cs="宋体"/>
          <w:sz w:val="24"/>
          <w:szCs w:val="24"/>
        </w:rPr>
        <w:t>1.2.1</w:t>
      </w:r>
      <w:r>
        <w:rPr>
          <w:rFonts w:hint="eastAsia" w:ascii="宋体" w:hAnsi="宋体" w:cs="宋体"/>
          <w:sz w:val="24"/>
          <w:szCs w:val="24"/>
        </w:rPr>
        <w:t>供应商以小型微型企业身份参与投标，如果投标产品中有一部分是本企业生产，或有一部分是其他小型、微型企业生产且有该企业《中小企业声明函》，则仅对该部分属于小型微型企业产品的价格予以扣除，其他投标产品价格不在扣除范围。</w:t>
      </w:r>
    </w:p>
    <w:p>
      <w:pPr>
        <w:spacing w:line="360" w:lineRule="auto"/>
        <w:ind w:firstLine="480" w:firstLineChars="200"/>
        <w:rPr>
          <w:rFonts w:ascii="宋体" w:cs="宋体"/>
          <w:sz w:val="24"/>
          <w:szCs w:val="24"/>
        </w:rPr>
      </w:pPr>
      <w:r>
        <w:rPr>
          <w:rFonts w:ascii="宋体" w:hAnsi="宋体" w:cs="宋体"/>
          <w:sz w:val="24"/>
          <w:szCs w:val="24"/>
        </w:rPr>
        <w:t>1.2.2</w:t>
      </w:r>
      <w:r>
        <w:rPr>
          <w:rFonts w:hint="eastAsia" w:ascii="宋体" w:hAnsi="宋体" w:cs="宋体"/>
          <w:sz w:val="24"/>
          <w:szCs w:val="24"/>
        </w:rPr>
        <w:t>供应商以监狱企业、残疾人福利性单位身份参与投标，如果投标产品为本企业生产，在评标时对投标报价给予价格扣除；如果投标产品中有一部分是本企业生产，则只对该部分产品的价格予以扣除，其他投标产品价格不在扣除范围。</w:t>
      </w:r>
    </w:p>
    <w:p>
      <w:pPr>
        <w:spacing w:before="120" w:line="360" w:lineRule="auto"/>
        <w:ind w:firstLine="482" w:firstLineChars="200"/>
        <w:rPr>
          <w:rFonts w:ascii="宋体" w:cs="宋体"/>
          <w:kern w:val="0"/>
          <w:sz w:val="24"/>
          <w:szCs w:val="24"/>
        </w:rPr>
      </w:pPr>
      <w:r>
        <w:rPr>
          <w:rFonts w:ascii="宋体" w:hAnsi="宋体"/>
          <w:b/>
          <w:bCs/>
          <w:kern w:val="0"/>
          <w:sz w:val="24"/>
          <w:szCs w:val="24"/>
        </w:rPr>
        <w:t>1.3</w:t>
      </w:r>
      <w:r>
        <w:rPr>
          <w:rFonts w:hint="eastAsia" w:ascii="宋体" w:hAnsi="宋体"/>
          <w:b/>
          <w:bCs/>
          <w:kern w:val="0"/>
          <w:sz w:val="24"/>
          <w:szCs w:val="24"/>
        </w:rPr>
        <w:t>关于小型、微型企业价格扣除政策的规定</w:t>
      </w:r>
      <w:bookmarkEnd w:id="5"/>
    </w:p>
    <w:p>
      <w:pPr>
        <w:spacing w:line="360" w:lineRule="auto"/>
        <w:ind w:firstLine="480" w:firstLineChars="200"/>
        <w:rPr>
          <w:rFonts w:ascii="宋体" w:cs="宋体"/>
          <w:sz w:val="24"/>
          <w:szCs w:val="24"/>
        </w:rPr>
      </w:pPr>
      <w:r>
        <w:rPr>
          <w:rFonts w:ascii="宋体" w:hAnsi="宋体" w:cs="宋体"/>
          <w:sz w:val="24"/>
          <w:szCs w:val="24"/>
        </w:rPr>
        <w:t>1.3.1</w:t>
      </w:r>
      <w:r>
        <w:rPr>
          <w:rFonts w:hint="eastAsia" w:ascii="宋体" w:hAnsi="宋体" w:cs="宋体"/>
          <w:sz w:val="24"/>
          <w:szCs w:val="24"/>
        </w:rPr>
        <w:t>小型、微型企业价格扣除政策</w:t>
      </w:r>
    </w:p>
    <w:p>
      <w:pPr>
        <w:spacing w:line="360" w:lineRule="auto"/>
        <w:ind w:firstLine="480" w:firstLineChars="200"/>
        <w:rPr>
          <w:rFonts w:ascii="宋体" w:cs="宋体"/>
          <w:sz w:val="24"/>
          <w:szCs w:val="24"/>
        </w:rPr>
      </w:pPr>
      <w:r>
        <w:rPr>
          <w:rFonts w:hint="eastAsia" w:ascii="宋体" w:hAnsi="宋体" w:cs="宋体"/>
          <w:sz w:val="24"/>
          <w:szCs w:val="24"/>
        </w:rPr>
        <w:t>供应商属于小型、微型企业，且提供本企业生产的货物或服务，应提供《中小企业声明函》、距开标半年内任一个月的社保缴纳凭据和对应的职工社保花名册、出具时间距开标不超过一年的经审计的财务报告（供应商属于小型微型企业，而提供其他小型、微型企业制造的货物，需另提供该制造企业的上述资料一套）。</w:t>
      </w:r>
    </w:p>
    <w:p>
      <w:pPr>
        <w:spacing w:line="360" w:lineRule="auto"/>
        <w:ind w:firstLine="480" w:firstLineChars="200"/>
        <w:rPr>
          <w:rFonts w:ascii="宋体" w:cs="宋体"/>
          <w:sz w:val="24"/>
          <w:szCs w:val="24"/>
        </w:rPr>
      </w:pPr>
      <w:r>
        <w:rPr>
          <w:rFonts w:hint="eastAsia" w:ascii="宋体" w:hAnsi="宋体" w:cs="宋体"/>
          <w:sz w:val="24"/>
          <w:szCs w:val="24"/>
        </w:rPr>
        <w:t>属于小型、微型企业的，对其企业产品的价格给予</w:t>
      </w:r>
      <w:r>
        <w:rPr>
          <w:rFonts w:ascii="宋体" w:hAnsi="宋体" w:cs="宋体"/>
          <w:sz w:val="24"/>
          <w:szCs w:val="24"/>
        </w:rPr>
        <w:t>6%</w:t>
      </w:r>
      <w:r>
        <w:rPr>
          <w:rFonts w:hint="eastAsia" w:ascii="宋体" w:hAnsi="宋体" w:cs="宋体"/>
          <w:sz w:val="24"/>
          <w:szCs w:val="24"/>
        </w:rPr>
        <w:t>的扣除，用扣除后的价格参与评审。供应商对其提供的资料真实性自行负责，如有虚假，列入财政部“政府采购严重违法失信行为信息记录”，中标者其中标资格将被取消。</w:t>
      </w:r>
    </w:p>
    <w:p>
      <w:pPr>
        <w:spacing w:line="360" w:lineRule="auto"/>
        <w:ind w:firstLine="480" w:firstLineChars="200"/>
        <w:rPr>
          <w:rFonts w:ascii="宋体" w:cs="宋体"/>
          <w:sz w:val="24"/>
          <w:szCs w:val="24"/>
        </w:rPr>
      </w:pPr>
      <w:r>
        <w:rPr>
          <w:rFonts w:ascii="宋体" w:hAnsi="宋体" w:cs="宋体"/>
          <w:sz w:val="24"/>
          <w:szCs w:val="24"/>
        </w:rPr>
        <w:t>1.3.2</w:t>
      </w:r>
      <w:r>
        <w:rPr>
          <w:rFonts w:hint="eastAsia" w:ascii="宋体" w:hAnsi="宋体" w:cs="宋体"/>
          <w:sz w:val="24"/>
          <w:szCs w:val="24"/>
        </w:rPr>
        <w:t>享受价格扣除政策的小型、微型企业必须同时满足以下两个条件：</w:t>
      </w:r>
    </w:p>
    <w:p>
      <w:pPr>
        <w:spacing w:line="360" w:lineRule="auto"/>
        <w:ind w:firstLine="480" w:firstLineChars="200"/>
        <w:rPr>
          <w:rFonts w:ascii="宋体" w:cs="宋体"/>
          <w:sz w:val="24"/>
          <w:szCs w:val="24"/>
        </w:rPr>
      </w:pPr>
      <w:r>
        <w:rPr>
          <w:rFonts w:ascii="宋体" w:hAnsi="宋体" w:cs="宋体"/>
          <w:sz w:val="24"/>
          <w:szCs w:val="24"/>
        </w:rPr>
        <w:t>1</w:t>
      </w:r>
      <w:r>
        <w:rPr>
          <w:rFonts w:hint="eastAsia" w:ascii="宋体" w:hAnsi="宋体" w:cs="宋体"/>
          <w:sz w:val="24"/>
          <w:szCs w:val="24"/>
        </w:rPr>
        <w:t>）符合小型、微型企业划分标准（按照“关于印发中小企业划型标准规定的通知”（工信部联企业【</w:t>
      </w:r>
      <w:r>
        <w:rPr>
          <w:rFonts w:ascii="宋体" w:hAnsi="宋体" w:cs="宋体"/>
          <w:sz w:val="24"/>
          <w:szCs w:val="24"/>
        </w:rPr>
        <w:t>2011</w:t>
      </w:r>
      <w:r>
        <w:rPr>
          <w:rFonts w:hint="eastAsia" w:ascii="宋体" w:hAnsi="宋体" w:cs="宋体"/>
          <w:sz w:val="24"/>
          <w:szCs w:val="24"/>
        </w:rPr>
        <w:t>】</w:t>
      </w:r>
      <w:r>
        <w:rPr>
          <w:rFonts w:ascii="宋体" w:hAnsi="宋体" w:cs="宋体"/>
          <w:sz w:val="24"/>
          <w:szCs w:val="24"/>
        </w:rPr>
        <w:t>300</w:t>
      </w:r>
      <w:r>
        <w:rPr>
          <w:rFonts w:hint="eastAsia" w:ascii="宋体" w:hAnsi="宋体" w:cs="宋体"/>
          <w:sz w:val="24"/>
          <w:szCs w:val="24"/>
        </w:rPr>
        <w:t>号）的规定划分）；</w:t>
      </w:r>
    </w:p>
    <w:p>
      <w:pPr>
        <w:spacing w:line="360" w:lineRule="auto"/>
        <w:ind w:firstLine="480" w:firstLineChars="200"/>
        <w:rPr>
          <w:rFonts w:ascii="宋体" w:cs="宋体"/>
          <w:sz w:val="24"/>
          <w:szCs w:val="24"/>
        </w:rPr>
      </w:pPr>
      <w:r>
        <w:rPr>
          <w:rFonts w:ascii="宋体" w:hAnsi="宋体" w:cs="宋体"/>
          <w:sz w:val="24"/>
          <w:szCs w:val="24"/>
        </w:rPr>
        <w:t>2</w:t>
      </w:r>
      <w:r>
        <w:rPr>
          <w:rFonts w:hint="eastAsia" w:ascii="宋体" w:hAnsi="宋体" w:cs="宋体"/>
          <w:sz w:val="24"/>
          <w:szCs w:val="24"/>
        </w:rPr>
        <w:t>）提供本企业生产的产品或者提供其他小型、微型企业生产的产品。</w:t>
      </w:r>
    </w:p>
    <w:p>
      <w:pPr>
        <w:spacing w:line="360" w:lineRule="auto"/>
        <w:ind w:firstLine="480" w:firstLineChars="200"/>
        <w:rPr>
          <w:rFonts w:ascii="宋体" w:cs="宋体"/>
          <w:sz w:val="24"/>
          <w:szCs w:val="24"/>
        </w:rPr>
      </w:pPr>
      <w:r>
        <w:rPr>
          <w:rFonts w:ascii="宋体" w:hAnsi="宋体" w:cs="宋体"/>
          <w:sz w:val="24"/>
          <w:szCs w:val="24"/>
        </w:rPr>
        <w:t>1.3.3</w:t>
      </w:r>
      <w:r>
        <w:rPr>
          <w:rFonts w:hint="eastAsia" w:ascii="宋体" w:hAnsi="宋体" w:cs="宋体"/>
          <w:sz w:val="24"/>
          <w:szCs w:val="24"/>
        </w:rPr>
        <w:t>享受小型、微型企业价格扣除政策的供应商应同时符合以下条件：</w:t>
      </w:r>
    </w:p>
    <w:p>
      <w:pPr>
        <w:spacing w:line="360" w:lineRule="auto"/>
        <w:ind w:firstLine="480" w:firstLineChars="200"/>
        <w:rPr>
          <w:rFonts w:ascii="宋体" w:cs="宋体"/>
          <w:sz w:val="24"/>
          <w:szCs w:val="24"/>
        </w:rPr>
      </w:pPr>
      <w:r>
        <w:rPr>
          <w:rFonts w:ascii="宋体" w:hAnsi="宋体" w:cs="宋体"/>
          <w:sz w:val="24"/>
          <w:szCs w:val="24"/>
        </w:rPr>
        <w:t>1</w:t>
      </w:r>
      <w:r>
        <w:rPr>
          <w:rFonts w:hint="eastAsia" w:ascii="宋体" w:hAnsi="宋体" w:cs="宋体"/>
          <w:sz w:val="24"/>
          <w:szCs w:val="24"/>
        </w:rPr>
        <w:t>）供应商为中国法人；</w:t>
      </w:r>
    </w:p>
    <w:p>
      <w:pPr>
        <w:spacing w:line="360" w:lineRule="auto"/>
        <w:ind w:firstLine="480" w:firstLineChars="200"/>
        <w:rPr>
          <w:rFonts w:ascii="宋体" w:cs="宋体"/>
          <w:sz w:val="24"/>
          <w:szCs w:val="24"/>
        </w:rPr>
      </w:pPr>
      <w:r>
        <w:rPr>
          <w:rFonts w:ascii="宋体" w:hAnsi="宋体" w:cs="宋体"/>
          <w:sz w:val="24"/>
          <w:szCs w:val="24"/>
        </w:rPr>
        <w:t>2</w:t>
      </w:r>
      <w:r>
        <w:rPr>
          <w:rFonts w:hint="eastAsia" w:ascii="宋体" w:hAnsi="宋体" w:cs="宋体"/>
          <w:sz w:val="24"/>
          <w:szCs w:val="24"/>
        </w:rPr>
        <w:t>）投标产品制造商为中国法人；</w:t>
      </w:r>
    </w:p>
    <w:p>
      <w:pPr>
        <w:spacing w:line="360" w:lineRule="auto"/>
        <w:ind w:firstLine="480" w:firstLineChars="200"/>
        <w:rPr>
          <w:rFonts w:ascii="宋体" w:cs="宋体"/>
          <w:sz w:val="24"/>
          <w:szCs w:val="24"/>
        </w:rPr>
      </w:pPr>
      <w:r>
        <w:rPr>
          <w:rFonts w:ascii="宋体" w:hAnsi="宋体" w:cs="宋体"/>
          <w:sz w:val="24"/>
          <w:szCs w:val="24"/>
        </w:rPr>
        <w:t>3</w:t>
      </w:r>
      <w:r>
        <w:rPr>
          <w:rFonts w:hint="eastAsia" w:ascii="宋体" w:hAnsi="宋体" w:cs="宋体"/>
          <w:sz w:val="24"/>
          <w:szCs w:val="24"/>
        </w:rPr>
        <w:t>）投标产品原产地为中国；</w:t>
      </w:r>
    </w:p>
    <w:p>
      <w:pPr>
        <w:spacing w:line="360" w:lineRule="auto"/>
        <w:ind w:firstLine="480" w:firstLineChars="200"/>
        <w:rPr>
          <w:rFonts w:ascii="宋体" w:cs="宋体"/>
          <w:sz w:val="24"/>
          <w:szCs w:val="24"/>
        </w:rPr>
      </w:pPr>
      <w:r>
        <w:rPr>
          <w:rFonts w:ascii="宋体" w:hAnsi="宋体" w:cs="宋体"/>
          <w:sz w:val="24"/>
          <w:szCs w:val="24"/>
        </w:rPr>
        <w:t>4</w:t>
      </w:r>
      <w:r>
        <w:rPr>
          <w:rFonts w:hint="eastAsia" w:ascii="宋体" w:hAnsi="宋体" w:cs="宋体"/>
          <w:sz w:val="24"/>
          <w:szCs w:val="24"/>
        </w:rPr>
        <w:t>）投标货币为人民币。</w:t>
      </w:r>
    </w:p>
    <w:p>
      <w:pPr>
        <w:spacing w:line="330" w:lineRule="atLeast"/>
        <w:rPr>
          <w:rFonts w:ascii="宋体" w:cs="宋体"/>
          <w:b/>
          <w:kern w:val="0"/>
          <w:sz w:val="24"/>
          <w:szCs w:val="24"/>
        </w:rPr>
      </w:pPr>
      <w:r>
        <w:rPr>
          <w:rFonts w:ascii="宋体" w:hAnsi="宋体" w:cs="宋体"/>
          <w:b/>
          <w:kern w:val="0"/>
          <w:sz w:val="24"/>
          <w:szCs w:val="24"/>
        </w:rPr>
        <w:t>1.4</w:t>
      </w:r>
      <w:r>
        <w:rPr>
          <w:rFonts w:hint="eastAsia" w:ascii="宋体" w:hAnsi="宋体" w:cs="宋体"/>
          <w:b/>
          <w:kern w:val="0"/>
          <w:sz w:val="24"/>
          <w:szCs w:val="24"/>
        </w:rPr>
        <w:t>部分中小企业划型标准规定</w:t>
      </w:r>
    </w:p>
    <w:p>
      <w:pPr>
        <w:spacing w:line="360" w:lineRule="auto"/>
        <w:ind w:firstLine="480" w:firstLineChars="200"/>
        <w:rPr>
          <w:rFonts w:ascii="宋体" w:cs="宋体"/>
          <w:sz w:val="24"/>
          <w:szCs w:val="24"/>
        </w:rPr>
      </w:pPr>
      <w:r>
        <w:rPr>
          <w:rFonts w:ascii="宋体" w:hAnsi="宋体" w:cs="宋体"/>
          <w:sz w:val="24"/>
          <w:szCs w:val="24"/>
        </w:rPr>
        <w:t>1.4.1</w:t>
      </w:r>
      <w:r>
        <w:rPr>
          <w:rFonts w:hint="eastAsia" w:ascii="宋体" w:hAnsi="宋体" w:cs="宋体"/>
          <w:sz w:val="24"/>
          <w:szCs w:val="24"/>
        </w:rPr>
        <w:t>建筑业。营业收入</w:t>
      </w:r>
      <w:r>
        <w:rPr>
          <w:rFonts w:ascii="宋体" w:hAnsi="宋体" w:cs="宋体"/>
          <w:sz w:val="24"/>
          <w:szCs w:val="24"/>
        </w:rPr>
        <w:t>80000</w:t>
      </w:r>
      <w:r>
        <w:rPr>
          <w:rFonts w:hint="eastAsia" w:ascii="宋体" w:hAnsi="宋体" w:cs="宋体"/>
          <w:sz w:val="24"/>
          <w:szCs w:val="24"/>
        </w:rPr>
        <w:t>万元以下或资产总额</w:t>
      </w:r>
      <w:r>
        <w:rPr>
          <w:rFonts w:ascii="宋体" w:hAnsi="宋体" w:cs="宋体"/>
          <w:sz w:val="24"/>
          <w:szCs w:val="24"/>
        </w:rPr>
        <w:t>80000</w:t>
      </w:r>
      <w:r>
        <w:rPr>
          <w:rFonts w:hint="eastAsia" w:ascii="宋体" w:hAnsi="宋体" w:cs="宋体"/>
          <w:sz w:val="24"/>
          <w:szCs w:val="24"/>
        </w:rPr>
        <w:t>万元以下的为中小微型企业。其中，营业收入</w:t>
      </w:r>
      <w:r>
        <w:rPr>
          <w:rFonts w:ascii="宋体" w:hAnsi="宋体" w:cs="宋体"/>
          <w:sz w:val="24"/>
          <w:szCs w:val="24"/>
        </w:rPr>
        <w:t>6000</w:t>
      </w:r>
      <w:r>
        <w:rPr>
          <w:rFonts w:hint="eastAsia" w:ascii="宋体" w:hAnsi="宋体" w:cs="宋体"/>
          <w:sz w:val="24"/>
          <w:szCs w:val="24"/>
        </w:rPr>
        <w:t>万元及以上，且资产总额</w:t>
      </w:r>
      <w:r>
        <w:rPr>
          <w:rFonts w:ascii="宋体" w:hAnsi="宋体" w:cs="宋体"/>
          <w:sz w:val="24"/>
          <w:szCs w:val="24"/>
        </w:rPr>
        <w:t>5000</w:t>
      </w:r>
      <w:r>
        <w:rPr>
          <w:rFonts w:hint="eastAsia" w:ascii="宋体" w:hAnsi="宋体" w:cs="宋体"/>
          <w:sz w:val="24"/>
          <w:szCs w:val="24"/>
        </w:rPr>
        <w:t>万元及以上的为中型企业；营业收入</w:t>
      </w:r>
      <w:r>
        <w:rPr>
          <w:rFonts w:ascii="宋体" w:hAnsi="宋体" w:cs="宋体"/>
          <w:sz w:val="24"/>
          <w:szCs w:val="24"/>
        </w:rPr>
        <w:t>300</w:t>
      </w:r>
      <w:r>
        <w:rPr>
          <w:rFonts w:hint="eastAsia" w:ascii="宋体" w:hAnsi="宋体" w:cs="宋体"/>
          <w:sz w:val="24"/>
          <w:szCs w:val="24"/>
        </w:rPr>
        <w:t>万元及以上，且资产总额</w:t>
      </w:r>
      <w:r>
        <w:rPr>
          <w:rFonts w:ascii="宋体" w:hAnsi="宋体" w:cs="宋体"/>
          <w:sz w:val="24"/>
          <w:szCs w:val="24"/>
        </w:rPr>
        <w:t>300</w:t>
      </w:r>
      <w:r>
        <w:rPr>
          <w:rFonts w:hint="eastAsia" w:ascii="宋体" w:hAnsi="宋体" w:cs="宋体"/>
          <w:sz w:val="24"/>
          <w:szCs w:val="24"/>
        </w:rPr>
        <w:t>万元及以上的为小型企业；营业收入</w:t>
      </w:r>
      <w:r>
        <w:rPr>
          <w:rFonts w:ascii="宋体" w:hAnsi="宋体" w:cs="宋体"/>
          <w:sz w:val="24"/>
          <w:szCs w:val="24"/>
        </w:rPr>
        <w:t>300</w:t>
      </w:r>
      <w:r>
        <w:rPr>
          <w:rFonts w:hint="eastAsia" w:ascii="宋体" w:hAnsi="宋体" w:cs="宋体"/>
          <w:sz w:val="24"/>
          <w:szCs w:val="24"/>
        </w:rPr>
        <w:t>万元以下或资产总额</w:t>
      </w:r>
      <w:r>
        <w:rPr>
          <w:rFonts w:ascii="宋体" w:hAnsi="宋体" w:cs="宋体"/>
          <w:sz w:val="24"/>
          <w:szCs w:val="24"/>
        </w:rPr>
        <w:t>300</w:t>
      </w:r>
      <w:r>
        <w:rPr>
          <w:rFonts w:hint="eastAsia" w:ascii="宋体" w:hAnsi="宋体" w:cs="宋体"/>
          <w:sz w:val="24"/>
          <w:szCs w:val="24"/>
        </w:rPr>
        <w:t>万元以下的为微型企业。</w:t>
      </w:r>
    </w:p>
    <w:p>
      <w:pPr>
        <w:spacing w:line="360" w:lineRule="auto"/>
        <w:ind w:firstLine="480" w:firstLineChars="200"/>
        <w:rPr>
          <w:rFonts w:ascii="宋体" w:cs="宋体"/>
          <w:sz w:val="24"/>
          <w:szCs w:val="24"/>
        </w:rPr>
      </w:pPr>
      <w:r>
        <w:rPr>
          <w:rFonts w:ascii="宋体" w:hAnsi="宋体" w:cs="宋体"/>
          <w:sz w:val="24"/>
          <w:szCs w:val="24"/>
        </w:rPr>
        <w:t>1.4.2</w:t>
      </w:r>
      <w:r>
        <w:rPr>
          <w:rFonts w:hint="eastAsia" w:ascii="宋体" w:hAnsi="宋体" w:cs="宋体"/>
          <w:sz w:val="24"/>
          <w:szCs w:val="24"/>
        </w:rPr>
        <w:t>其他专业详见：关于印发中小企业划型标准规定的通知（工信部联企业〔</w:t>
      </w:r>
      <w:r>
        <w:rPr>
          <w:rFonts w:ascii="宋体" w:hAnsi="宋体" w:cs="宋体"/>
          <w:sz w:val="24"/>
          <w:szCs w:val="24"/>
        </w:rPr>
        <w:t>2011</w:t>
      </w:r>
      <w:r>
        <w:rPr>
          <w:rFonts w:hint="eastAsia" w:ascii="宋体" w:hAnsi="宋体" w:cs="宋体"/>
          <w:sz w:val="24"/>
          <w:szCs w:val="24"/>
        </w:rPr>
        <w:t>〕</w:t>
      </w:r>
      <w:r>
        <w:rPr>
          <w:rFonts w:ascii="宋体" w:hAnsi="宋体" w:cs="宋体"/>
          <w:sz w:val="24"/>
          <w:szCs w:val="24"/>
        </w:rPr>
        <w:t>300</w:t>
      </w:r>
      <w:r>
        <w:rPr>
          <w:rFonts w:hint="eastAsia" w:ascii="宋体" w:hAnsi="宋体" w:cs="宋体"/>
          <w:sz w:val="24"/>
          <w:szCs w:val="24"/>
        </w:rPr>
        <w:t>号）</w:t>
      </w:r>
    </w:p>
    <w:p>
      <w:pPr>
        <w:spacing w:line="360" w:lineRule="auto"/>
        <w:ind w:firstLine="420" w:firstLineChars="200"/>
        <w:rPr>
          <w:rFonts w:ascii="宋体" w:cs="宋体"/>
          <w:color w:val="000000"/>
          <w:kern w:val="0"/>
          <w:szCs w:val="24"/>
        </w:rPr>
      </w:pPr>
      <w:r>
        <w:rPr>
          <w:rFonts w:ascii="宋体" w:hAnsi="宋体" w:cs="宋体"/>
          <w:color w:val="000000"/>
          <w:kern w:val="0"/>
          <w:szCs w:val="24"/>
        </w:rPr>
        <w:t xml:space="preserve">2. </w:t>
      </w:r>
      <w:r>
        <w:rPr>
          <w:rFonts w:hint="eastAsia" w:ascii="宋体" w:hAnsi="宋体" w:cs="宋体"/>
          <w:color w:val="000000"/>
          <w:kern w:val="0"/>
          <w:szCs w:val="24"/>
        </w:rPr>
        <w:t>评标方法</w:t>
      </w:r>
    </w:p>
    <w:p>
      <w:pPr>
        <w:widowControl/>
        <w:shd w:val="clear" w:color="auto" w:fill="FFFFFF"/>
        <w:spacing w:line="456" w:lineRule="auto"/>
        <w:jc w:val="left"/>
        <w:rPr>
          <w:rFonts w:ascii="宋体" w:cs="Arial"/>
          <w:b/>
          <w:bCs/>
          <w:color w:val="333333"/>
          <w:kern w:val="0"/>
          <w:sz w:val="36"/>
          <w:szCs w:val="36"/>
        </w:rPr>
      </w:pPr>
      <w:r>
        <w:rPr>
          <w:rFonts w:hint="eastAsia" w:ascii="宋体" w:hAnsi="宋体" w:cs="宋体"/>
          <w:color w:val="000000"/>
          <w:kern w:val="0"/>
          <w:szCs w:val="24"/>
        </w:rPr>
        <w:t>本次评标采用综合评估法。评标委员会先对投标文件进行初步评审，确定每份投标文件是否满足招标文件实质性要求。然后按照本章规定的评分标准对投标报价、技术部分、综合标进行打分，最后汇总得分，按全部评委打分的算术平均值为供应商的最终得分。</w:t>
      </w:r>
      <w:bookmarkStart w:id="6" w:name="_GoBack"/>
      <w:bookmarkEnd w:id="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 PAGE   \* MERGEFORMAT </w:instrText>
    </w:r>
    <w:r>
      <w:fldChar w:fldCharType="separate"/>
    </w:r>
    <w:r>
      <w:rPr>
        <w:lang w:val="zh-CN"/>
      </w:rPr>
      <w:t>7</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22197"/>
    <w:multiLevelType w:val="singleLevel"/>
    <w:tmpl w:val="3FC22197"/>
    <w:lvl w:ilvl="0" w:tentative="0">
      <w:start w:val="4"/>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7E1"/>
    <w:rsid w:val="00004409"/>
    <w:rsid w:val="00004EFA"/>
    <w:rsid w:val="00062920"/>
    <w:rsid w:val="000B6AB7"/>
    <w:rsid w:val="00103D73"/>
    <w:rsid w:val="001E554E"/>
    <w:rsid w:val="001F75F7"/>
    <w:rsid w:val="00242968"/>
    <w:rsid w:val="002E2A3D"/>
    <w:rsid w:val="002E77FD"/>
    <w:rsid w:val="002E7820"/>
    <w:rsid w:val="003D13E8"/>
    <w:rsid w:val="003F63F1"/>
    <w:rsid w:val="004D030A"/>
    <w:rsid w:val="004E154C"/>
    <w:rsid w:val="004F75AA"/>
    <w:rsid w:val="005146D8"/>
    <w:rsid w:val="005641F0"/>
    <w:rsid w:val="005E3B4C"/>
    <w:rsid w:val="006121AC"/>
    <w:rsid w:val="00626609"/>
    <w:rsid w:val="006306DF"/>
    <w:rsid w:val="006535C2"/>
    <w:rsid w:val="006B2867"/>
    <w:rsid w:val="007B3357"/>
    <w:rsid w:val="0083775D"/>
    <w:rsid w:val="00894457"/>
    <w:rsid w:val="008E3A5B"/>
    <w:rsid w:val="009805CD"/>
    <w:rsid w:val="00BB7FD5"/>
    <w:rsid w:val="00BE7BE2"/>
    <w:rsid w:val="00C017E1"/>
    <w:rsid w:val="00CA0DE6"/>
    <w:rsid w:val="00CB26BB"/>
    <w:rsid w:val="00E52624"/>
    <w:rsid w:val="00E97619"/>
    <w:rsid w:val="00EA0CA0"/>
    <w:rsid w:val="00EB203D"/>
    <w:rsid w:val="00F01414"/>
    <w:rsid w:val="00F208F5"/>
    <w:rsid w:val="00F536E8"/>
    <w:rsid w:val="00F61A88"/>
    <w:rsid w:val="00FD0404"/>
    <w:rsid w:val="3C5F5891"/>
    <w:rsid w:val="56A72CD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8"/>
    <w:qFormat/>
    <w:uiPriority w:val="99"/>
    <w:pPr>
      <w:widowControl/>
      <w:jc w:val="left"/>
      <w:outlineLvl w:val="0"/>
    </w:pPr>
    <w:rPr>
      <w:rFonts w:ascii="宋体" w:hAnsi="宋体" w:cs="宋体"/>
      <w:kern w:val="36"/>
      <w:sz w:val="48"/>
      <w:szCs w:val="48"/>
    </w:rPr>
  </w:style>
  <w:style w:type="paragraph" w:styleId="3">
    <w:name w:val="heading 2"/>
    <w:basedOn w:val="1"/>
    <w:next w:val="1"/>
    <w:link w:val="9"/>
    <w:qFormat/>
    <w:uiPriority w:val="99"/>
    <w:pPr>
      <w:keepNext/>
      <w:keepLines/>
      <w:spacing w:before="260" w:after="260" w:line="416" w:lineRule="auto"/>
      <w:outlineLvl w:val="1"/>
    </w:pPr>
    <w:rPr>
      <w:rFonts w:ascii="Cambria" w:hAnsi="Cambria"/>
      <w:b/>
      <w:bCs/>
      <w:sz w:val="32"/>
      <w:szCs w:val="32"/>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6"/>
    <w:link w:val="2"/>
    <w:qFormat/>
    <w:locked/>
    <w:uiPriority w:val="99"/>
    <w:rPr>
      <w:rFonts w:ascii="宋体" w:hAnsi="宋体" w:eastAsia="宋体" w:cs="宋体"/>
      <w:kern w:val="36"/>
      <w:sz w:val="48"/>
      <w:szCs w:val="48"/>
    </w:rPr>
  </w:style>
  <w:style w:type="character" w:customStyle="1" w:styleId="9">
    <w:name w:val="标题 2 Char"/>
    <w:basedOn w:val="6"/>
    <w:link w:val="3"/>
    <w:semiHidden/>
    <w:qFormat/>
    <w:locked/>
    <w:uiPriority w:val="99"/>
    <w:rPr>
      <w:rFonts w:ascii="Cambria" w:hAnsi="Cambria" w:eastAsia="宋体" w:cs="Times New Roman"/>
      <w:b/>
      <w:bCs/>
      <w:sz w:val="32"/>
      <w:szCs w:val="32"/>
    </w:rPr>
  </w:style>
  <w:style w:type="character" w:customStyle="1" w:styleId="10">
    <w:name w:val="页脚 Char"/>
    <w:basedOn w:val="6"/>
    <w:link w:val="4"/>
    <w:locked/>
    <w:uiPriority w:val="99"/>
    <w:rPr>
      <w:rFonts w:cs="Times New Roman"/>
      <w:sz w:val="18"/>
      <w:szCs w:val="18"/>
    </w:rPr>
  </w:style>
  <w:style w:type="character" w:customStyle="1" w:styleId="11">
    <w:name w:val="页眉 Char"/>
    <w:basedOn w:val="6"/>
    <w:link w:val="5"/>
    <w:semiHidden/>
    <w:locked/>
    <w:uiPriority w:val="99"/>
    <w:rPr>
      <w:rFonts w:cs="Times New Roman"/>
      <w:sz w:val="18"/>
      <w:szCs w:val="18"/>
    </w:rPr>
  </w:style>
  <w:style w:type="paragraph" w:customStyle="1" w:styleId="12">
    <w:name w:val="default"/>
    <w:basedOn w:val="1"/>
    <w:qFormat/>
    <w:uiPriority w:val="99"/>
    <w:pPr>
      <w:widowControl/>
      <w:jc w:val="left"/>
    </w:pPr>
    <w:rPr>
      <w:rFonts w:ascii="宋体" w:hAnsi="宋体" w:cs="宋体"/>
      <w:kern w:val="0"/>
      <w:sz w:val="24"/>
      <w:szCs w:val="24"/>
    </w:rPr>
  </w:style>
  <w:style w:type="paragraph" w:customStyle="1" w:styleId="13">
    <w:name w:val="Default"/>
    <w:uiPriority w:val="99"/>
    <w:pPr>
      <w:widowControl w:val="0"/>
    </w:pPr>
    <w:rPr>
      <w:rFonts w:ascii="宋体" w:hAnsi="宋体" w:eastAsia="宋体" w:cs="宋体"/>
      <w:color w:val="000000"/>
      <w:sz w:val="24"/>
      <w:szCs w:val="24"/>
      <w:lang w:val="en-US" w:eastAsia="zh-CN" w:bidi="ar-SA"/>
    </w:rPr>
  </w:style>
  <w:style w:type="paragraph" w:styleId="14">
    <w:name w:val="List Paragraph"/>
    <w:basedOn w:val="1"/>
    <w:qFormat/>
    <w:uiPriority w:val="99"/>
    <w:pPr>
      <w:ind w:firstLine="420" w:firstLineChars="200"/>
    </w:pPr>
    <w:rPr>
      <w:szCs w:val="24"/>
    </w:rPr>
  </w:style>
  <w:style w:type="paragraph" w:customStyle="1" w:styleId="15">
    <w:name w:val="列出段落1"/>
    <w:basedOn w:val="1"/>
    <w:qFormat/>
    <w:uiPriority w:val="99"/>
    <w:pPr>
      <w:ind w:firstLine="420"/>
    </w:pPr>
    <w:rPr>
      <w:rFonts w:cs="Calibri"/>
      <w:color w:val="000000"/>
      <w:kern w:val="1"/>
      <w:szCs w:val="24"/>
    </w:rPr>
  </w:style>
  <w:style w:type="character" w:customStyle="1" w:styleId="16">
    <w:name w:val="书籍标题1"/>
    <w:qFormat/>
    <w:uiPriority w:val="99"/>
    <w:rPr>
      <w:b/>
      <w:i/>
      <w:spacing w:val="5"/>
    </w:rPr>
  </w:style>
  <w:style w:type="paragraph" w:customStyle="1" w:styleId="17">
    <w:name w:val="msolist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5884</Words>
  <Characters>659</Characters>
  <Lines>5</Lines>
  <Paragraphs>13</Paragraphs>
  <TotalTime>90</TotalTime>
  <ScaleCrop>false</ScaleCrop>
  <LinksUpToDate>false</LinksUpToDate>
  <CharactersWithSpaces>6530</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2018-11-30T09:10:00Z</dcterms:created>
  <dc:creator>福建卓知项目投资顾问有限公司:白璐</dc:creator>
  <cp:lastModifiedBy>白牡丹广告</cp:lastModifiedBy>
  <dcterms:modified xsi:type="dcterms:W3CDTF">2018-12-13T01:02:46Z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