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7FEB8">
      <w:pPr>
        <w:pStyle w:val="6"/>
        <w:keepNext/>
        <w:keepLines/>
        <w:pageBreakBefore w:val="0"/>
        <w:widowControl w:val="0"/>
        <w:kinsoku/>
        <w:wordWrap/>
        <w:overflowPunct/>
        <w:topLinePunct w:val="0"/>
        <w:autoSpaceDE/>
        <w:autoSpaceDN/>
        <w:bidi w:val="0"/>
        <w:adjustRightInd/>
        <w:snapToGrid/>
        <w:spacing w:before="0" w:after="0" w:line="500" w:lineRule="exact"/>
        <w:jc w:val="center"/>
        <w:textAlignment w:val="auto"/>
        <w:rPr>
          <w:rFonts w:hint="eastAsia"/>
          <w:lang w:val="en-US" w:eastAsia="zh-CN"/>
        </w:rPr>
      </w:pPr>
      <w:r>
        <w:rPr>
          <w:rFonts w:hint="eastAsia"/>
          <w:lang w:val="en-US" w:eastAsia="zh-CN"/>
        </w:rPr>
        <w:t>2026年开封市城乡一体化示范区中小学幼儿园校园食材配送及配餐项目 第二包段核查打分</w:t>
      </w:r>
      <w:bookmarkStart w:id="0" w:name="_GoBack"/>
      <w:bookmarkEnd w:id="0"/>
      <w:r>
        <w:rPr>
          <w:rFonts w:hint="eastAsia"/>
          <w:lang w:val="en-US" w:eastAsia="zh-CN"/>
        </w:rPr>
        <w:t>标准</w:t>
      </w:r>
    </w:p>
    <w:p w14:paraId="41807539">
      <w:pPr>
        <w:rPr>
          <w:rFonts w:hint="eastAsia"/>
          <w:lang w:val="en-US" w:eastAsia="zh-CN"/>
        </w:rPr>
      </w:pPr>
    </w:p>
    <w:tbl>
      <w:tblPr>
        <w:tblStyle w:val="8"/>
        <w:tblW w:w="10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3"/>
        <w:gridCol w:w="1359"/>
        <w:gridCol w:w="7256"/>
      </w:tblGrid>
      <w:tr w14:paraId="74839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663" w:type="dxa"/>
            <w:noWrap w:val="0"/>
            <w:vAlign w:val="center"/>
          </w:tcPr>
          <w:p w14:paraId="4B6B09A4">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bCs/>
                <w:caps w:val="0"/>
                <w:color w:val="auto"/>
                <w:spacing w:val="0"/>
                <w:w w:val="100"/>
                <w:kern w:val="0"/>
                <w:position w:val="0"/>
                <w:highlight w:val="none"/>
                <w:lang w:eastAsia="zh-CN"/>
              </w:rPr>
            </w:pPr>
            <w:r>
              <w:rPr>
                <w:rFonts w:hint="default" w:ascii="Times New Roman" w:hAnsi="Times New Roman" w:eastAsia="宋体" w:cs="Times New Roman"/>
                <w:b/>
                <w:bCs/>
                <w:caps w:val="0"/>
                <w:color w:val="auto"/>
                <w:spacing w:val="0"/>
                <w:w w:val="100"/>
                <w:kern w:val="0"/>
                <w:position w:val="0"/>
                <w:highlight w:val="none"/>
                <w:lang w:eastAsia="zh-CN"/>
              </w:rPr>
              <w:t>评审内容</w:t>
            </w:r>
          </w:p>
        </w:tc>
        <w:tc>
          <w:tcPr>
            <w:tcW w:w="1359" w:type="dxa"/>
            <w:noWrap w:val="0"/>
            <w:vAlign w:val="center"/>
          </w:tcPr>
          <w:p w14:paraId="1FF5967A">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bCs/>
                <w:caps w:val="0"/>
                <w:color w:val="auto"/>
                <w:spacing w:val="0"/>
                <w:w w:val="100"/>
                <w:kern w:val="0"/>
                <w:position w:val="0"/>
                <w:highlight w:val="none"/>
                <w:lang w:eastAsia="zh-CN"/>
              </w:rPr>
            </w:pPr>
            <w:r>
              <w:rPr>
                <w:rFonts w:hint="default" w:ascii="Times New Roman" w:hAnsi="Times New Roman" w:eastAsia="宋体" w:cs="Times New Roman"/>
                <w:b/>
                <w:bCs/>
                <w:caps w:val="0"/>
                <w:color w:val="auto"/>
                <w:spacing w:val="0"/>
                <w:w w:val="100"/>
                <w:kern w:val="0"/>
                <w:position w:val="0"/>
                <w:highlight w:val="none"/>
                <w:lang w:eastAsia="zh-CN"/>
              </w:rPr>
              <w:t>评审因素</w:t>
            </w:r>
          </w:p>
        </w:tc>
        <w:tc>
          <w:tcPr>
            <w:tcW w:w="7256" w:type="dxa"/>
            <w:noWrap w:val="0"/>
            <w:vAlign w:val="center"/>
          </w:tcPr>
          <w:p w14:paraId="70141741">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bCs/>
                <w:caps w:val="0"/>
                <w:color w:val="auto"/>
                <w:spacing w:val="0"/>
                <w:w w:val="100"/>
                <w:kern w:val="0"/>
                <w:position w:val="0"/>
                <w:highlight w:val="none"/>
                <w:lang w:val="en-US" w:eastAsia="zh-CN"/>
              </w:rPr>
            </w:pPr>
            <w:r>
              <w:rPr>
                <w:rFonts w:hint="default" w:ascii="Times New Roman" w:hAnsi="Times New Roman" w:eastAsia="宋体" w:cs="Times New Roman"/>
                <w:b/>
                <w:bCs/>
                <w:caps w:val="0"/>
                <w:color w:val="auto"/>
                <w:spacing w:val="0"/>
                <w:w w:val="100"/>
                <w:kern w:val="0"/>
                <w:position w:val="0"/>
                <w:highlight w:val="none"/>
                <w:lang w:eastAsia="zh-CN"/>
              </w:rPr>
              <w:t>编列内容</w:t>
            </w:r>
          </w:p>
        </w:tc>
      </w:tr>
      <w:tr w14:paraId="6224F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1663" w:type="dxa"/>
            <w:noWrap w:val="0"/>
            <w:vAlign w:val="center"/>
          </w:tcPr>
          <w:p w14:paraId="0AE1A1CC">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caps w:val="0"/>
                <w:color w:val="auto"/>
                <w:spacing w:val="0"/>
                <w:w w:val="100"/>
                <w:kern w:val="0"/>
                <w:position w:val="0"/>
                <w:highlight w:val="none"/>
              </w:rPr>
            </w:pPr>
            <w:r>
              <w:rPr>
                <w:rFonts w:hint="default" w:ascii="Times New Roman" w:hAnsi="Times New Roman" w:eastAsia="宋体" w:cs="Times New Roman"/>
                <w:caps w:val="0"/>
                <w:color w:val="auto"/>
                <w:spacing w:val="0"/>
                <w:w w:val="100"/>
                <w:kern w:val="0"/>
                <w:position w:val="0"/>
                <w:highlight w:val="none"/>
              </w:rPr>
              <w:t>分值构成</w:t>
            </w:r>
          </w:p>
          <w:p w14:paraId="680EA038">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bCs/>
                <w:kern w:val="0"/>
              </w:rPr>
            </w:pPr>
            <w:r>
              <w:rPr>
                <w:rFonts w:hint="default" w:ascii="Times New Roman" w:hAnsi="Times New Roman" w:eastAsia="宋体" w:cs="Times New Roman"/>
                <w:caps w:val="0"/>
                <w:color w:val="auto"/>
                <w:spacing w:val="0"/>
                <w:w w:val="100"/>
                <w:kern w:val="0"/>
                <w:position w:val="0"/>
                <w:highlight w:val="none"/>
                <w:lang w:eastAsia="zh-CN"/>
              </w:rPr>
              <w:t>（</w:t>
            </w:r>
            <w:r>
              <w:rPr>
                <w:rFonts w:hint="default" w:ascii="Times New Roman" w:hAnsi="Times New Roman" w:eastAsia="宋体" w:cs="Times New Roman"/>
                <w:caps w:val="0"/>
                <w:color w:val="auto"/>
                <w:spacing w:val="0"/>
                <w:w w:val="100"/>
                <w:kern w:val="0"/>
                <w:position w:val="0"/>
                <w:highlight w:val="none"/>
              </w:rPr>
              <w:t>总分100分</w:t>
            </w:r>
            <w:r>
              <w:rPr>
                <w:rFonts w:hint="default" w:ascii="Times New Roman" w:hAnsi="Times New Roman" w:eastAsia="宋体" w:cs="Times New Roman"/>
                <w:caps w:val="0"/>
                <w:color w:val="auto"/>
                <w:spacing w:val="0"/>
                <w:w w:val="100"/>
                <w:kern w:val="0"/>
                <w:position w:val="0"/>
                <w:highlight w:val="none"/>
                <w:lang w:eastAsia="zh-CN"/>
              </w:rPr>
              <w:t>）</w:t>
            </w:r>
          </w:p>
        </w:tc>
        <w:tc>
          <w:tcPr>
            <w:tcW w:w="1359" w:type="dxa"/>
            <w:noWrap w:val="0"/>
            <w:vAlign w:val="center"/>
          </w:tcPr>
          <w:p w14:paraId="7CC91CF0">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bCs/>
                <w:kern w:val="0"/>
              </w:rPr>
            </w:pPr>
            <w:r>
              <w:rPr>
                <w:rFonts w:hint="default" w:ascii="Times New Roman" w:hAnsi="Times New Roman" w:eastAsia="宋体" w:cs="Times New Roman"/>
                <w:caps w:val="0"/>
                <w:color w:val="auto"/>
                <w:spacing w:val="0"/>
                <w:w w:val="100"/>
                <w:kern w:val="0"/>
                <w:position w:val="0"/>
                <w:highlight w:val="none"/>
              </w:rPr>
              <w:t>分值构成</w:t>
            </w:r>
          </w:p>
        </w:tc>
        <w:tc>
          <w:tcPr>
            <w:tcW w:w="7256" w:type="dxa"/>
            <w:noWrap w:val="0"/>
            <w:vAlign w:val="center"/>
          </w:tcPr>
          <w:p w14:paraId="5B6B6674">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left"/>
              <w:textAlignment w:val="auto"/>
              <w:rPr>
                <w:rFonts w:hint="default" w:ascii="Times New Roman" w:hAnsi="Times New Roman" w:eastAsia="宋体" w:cs="Times New Roman"/>
                <w:caps w:val="0"/>
                <w:color w:val="auto"/>
                <w:spacing w:val="0"/>
                <w:w w:val="100"/>
                <w:kern w:val="0"/>
                <w:position w:val="0"/>
                <w:highlight w:val="none"/>
              </w:rPr>
            </w:pPr>
            <w:r>
              <w:rPr>
                <w:rFonts w:hint="default" w:ascii="Times New Roman" w:hAnsi="Times New Roman" w:eastAsia="宋体" w:cs="Times New Roman"/>
                <w:caps w:val="0"/>
                <w:color w:val="auto"/>
                <w:spacing w:val="0"/>
                <w:w w:val="100"/>
                <w:kern w:val="0"/>
                <w:position w:val="0"/>
                <w:highlight w:val="none"/>
              </w:rPr>
              <w:t>综合实力部分（</w:t>
            </w:r>
            <w:r>
              <w:rPr>
                <w:rFonts w:hint="default" w:ascii="Times New Roman" w:hAnsi="Times New Roman" w:eastAsia="宋体" w:cs="Times New Roman"/>
                <w:caps w:val="0"/>
                <w:color w:val="auto"/>
                <w:spacing w:val="0"/>
                <w:w w:val="100"/>
                <w:kern w:val="0"/>
                <w:position w:val="0"/>
                <w:highlight w:val="none"/>
                <w:lang w:val="en-US" w:eastAsia="zh-CN"/>
              </w:rPr>
              <w:t>58</w:t>
            </w:r>
            <w:r>
              <w:rPr>
                <w:rFonts w:hint="default" w:ascii="Times New Roman" w:hAnsi="Times New Roman" w:eastAsia="宋体" w:cs="Times New Roman"/>
                <w:caps w:val="0"/>
                <w:color w:val="auto"/>
                <w:spacing w:val="0"/>
                <w:w w:val="100"/>
                <w:kern w:val="0"/>
                <w:position w:val="0"/>
                <w:highlight w:val="none"/>
              </w:rPr>
              <w:t>分）</w:t>
            </w:r>
          </w:p>
          <w:p w14:paraId="074BF804">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left"/>
              <w:textAlignment w:val="auto"/>
              <w:rPr>
                <w:rFonts w:hint="default" w:ascii="Times New Roman" w:hAnsi="Times New Roman" w:eastAsia="宋体" w:cs="Times New Roman"/>
                <w:caps w:val="0"/>
                <w:color w:val="auto"/>
                <w:spacing w:val="0"/>
                <w:w w:val="100"/>
                <w:kern w:val="0"/>
                <w:position w:val="0"/>
                <w:highlight w:val="none"/>
              </w:rPr>
            </w:pPr>
            <w:r>
              <w:rPr>
                <w:rFonts w:hint="default" w:ascii="Times New Roman" w:hAnsi="Times New Roman" w:eastAsia="宋体" w:cs="Times New Roman"/>
                <w:caps w:val="0"/>
                <w:color w:val="auto"/>
                <w:spacing w:val="0"/>
                <w:w w:val="100"/>
                <w:kern w:val="0"/>
                <w:position w:val="0"/>
                <w:highlight w:val="none"/>
              </w:rPr>
              <w:t>技术部分（</w:t>
            </w:r>
            <w:r>
              <w:rPr>
                <w:rFonts w:hint="default" w:ascii="Times New Roman" w:hAnsi="Times New Roman" w:eastAsia="宋体" w:cs="Times New Roman"/>
                <w:caps w:val="0"/>
                <w:color w:val="auto"/>
                <w:spacing w:val="0"/>
                <w:w w:val="100"/>
                <w:kern w:val="0"/>
                <w:position w:val="0"/>
                <w:highlight w:val="none"/>
                <w:lang w:val="en-US" w:eastAsia="zh-CN"/>
              </w:rPr>
              <w:t>28</w:t>
            </w:r>
            <w:r>
              <w:rPr>
                <w:rFonts w:hint="default" w:ascii="Times New Roman" w:hAnsi="Times New Roman" w:eastAsia="宋体" w:cs="Times New Roman"/>
                <w:caps w:val="0"/>
                <w:color w:val="auto"/>
                <w:spacing w:val="0"/>
                <w:w w:val="100"/>
                <w:kern w:val="0"/>
                <w:position w:val="0"/>
                <w:highlight w:val="none"/>
              </w:rPr>
              <w:t>分）</w:t>
            </w:r>
          </w:p>
          <w:p w14:paraId="7D7A8DA6">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left"/>
              <w:textAlignment w:val="auto"/>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caps w:val="0"/>
                <w:color w:val="auto"/>
                <w:spacing w:val="0"/>
                <w:w w:val="100"/>
                <w:kern w:val="0"/>
                <w:position w:val="0"/>
                <w:highlight w:val="none"/>
              </w:rPr>
              <w:t>商务部分（</w:t>
            </w:r>
            <w:r>
              <w:rPr>
                <w:rFonts w:hint="default" w:ascii="Times New Roman" w:hAnsi="Times New Roman" w:eastAsia="宋体" w:cs="Times New Roman"/>
                <w:caps w:val="0"/>
                <w:color w:val="auto"/>
                <w:spacing w:val="0"/>
                <w:w w:val="100"/>
                <w:kern w:val="0"/>
                <w:position w:val="0"/>
                <w:highlight w:val="none"/>
                <w:lang w:val="en-US" w:eastAsia="zh-CN"/>
              </w:rPr>
              <w:t>14</w:t>
            </w:r>
            <w:r>
              <w:rPr>
                <w:rFonts w:hint="default" w:ascii="Times New Roman" w:hAnsi="Times New Roman" w:eastAsia="宋体" w:cs="Times New Roman"/>
                <w:caps w:val="0"/>
                <w:color w:val="auto"/>
                <w:spacing w:val="0"/>
                <w:w w:val="100"/>
                <w:kern w:val="0"/>
                <w:position w:val="0"/>
                <w:highlight w:val="none"/>
              </w:rPr>
              <w:t>分）</w:t>
            </w:r>
          </w:p>
        </w:tc>
      </w:tr>
      <w:tr w14:paraId="4242E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663" w:type="dxa"/>
            <w:noWrap w:val="0"/>
            <w:vAlign w:val="center"/>
          </w:tcPr>
          <w:p w14:paraId="1C5F11E0">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bCs/>
                <w:kern w:val="0"/>
              </w:rPr>
            </w:pPr>
            <w:r>
              <w:rPr>
                <w:rFonts w:hint="default" w:ascii="Times New Roman" w:hAnsi="Times New Roman" w:eastAsia="宋体" w:cs="Times New Roman"/>
                <w:b/>
                <w:bCs/>
                <w:caps w:val="0"/>
                <w:color w:val="auto"/>
                <w:spacing w:val="0"/>
                <w:w w:val="100"/>
                <w:kern w:val="0"/>
                <w:position w:val="0"/>
                <w:highlight w:val="none"/>
                <w:lang w:eastAsia="zh-CN"/>
              </w:rPr>
              <w:t>评分内容</w:t>
            </w:r>
          </w:p>
        </w:tc>
        <w:tc>
          <w:tcPr>
            <w:tcW w:w="1359" w:type="dxa"/>
            <w:noWrap w:val="0"/>
            <w:vAlign w:val="center"/>
          </w:tcPr>
          <w:p w14:paraId="1082FBBC">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bCs/>
                <w:kern w:val="0"/>
              </w:rPr>
            </w:pPr>
            <w:r>
              <w:rPr>
                <w:rFonts w:hint="default" w:ascii="Times New Roman" w:hAnsi="Times New Roman" w:eastAsia="宋体" w:cs="Times New Roman"/>
                <w:b/>
                <w:bCs/>
                <w:caps w:val="0"/>
                <w:color w:val="auto"/>
                <w:spacing w:val="0"/>
                <w:w w:val="100"/>
                <w:kern w:val="0"/>
                <w:position w:val="0"/>
                <w:highlight w:val="none"/>
              </w:rPr>
              <w:t>评分因素</w:t>
            </w:r>
          </w:p>
        </w:tc>
        <w:tc>
          <w:tcPr>
            <w:tcW w:w="7256" w:type="dxa"/>
            <w:noWrap w:val="0"/>
            <w:vAlign w:val="center"/>
          </w:tcPr>
          <w:p w14:paraId="112633F7">
            <w:pPr>
              <w:keepNext w:val="0"/>
              <w:keepLines w:val="0"/>
              <w:pageBreakBefore w:val="0"/>
              <w:widowControl w:val="0"/>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bCs/>
                <w:kern w:val="2"/>
                <w:sz w:val="21"/>
                <w:szCs w:val="22"/>
                <w:lang w:val="en-US" w:eastAsia="zh-CN" w:bidi="ar-SA"/>
              </w:rPr>
            </w:pPr>
            <w:r>
              <w:rPr>
                <w:rFonts w:hint="default" w:ascii="Times New Roman" w:hAnsi="Times New Roman" w:eastAsia="宋体" w:cs="Times New Roman"/>
                <w:b/>
                <w:bCs/>
                <w:caps w:val="0"/>
                <w:color w:val="auto"/>
                <w:spacing w:val="0"/>
                <w:w w:val="100"/>
                <w:kern w:val="0"/>
                <w:position w:val="0"/>
                <w:highlight w:val="none"/>
              </w:rPr>
              <w:t>评分标准</w:t>
            </w:r>
          </w:p>
        </w:tc>
      </w:tr>
      <w:tr w14:paraId="065D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1663" w:type="dxa"/>
            <w:vMerge w:val="restart"/>
            <w:noWrap w:val="0"/>
            <w:vAlign w:val="center"/>
          </w:tcPr>
          <w:p w14:paraId="3D50ADCF">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rPr>
            </w:pPr>
            <w:r>
              <w:rPr>
                <w:rFonts w:hint="default" w:ascii="Times New Roman" w:hAnsi="Times New Roman" w:eastAsia="宋体" w:cs="Times New Roman"/>
                <w:b w:val="0"/>
                <w:bCs w:val="0"/>
                <w:kern w:val="0"/>
              </w:rPr>
              <w:t>综合实力部分</w:t>
            </w:r>
          </w:p>
          <w:p w14:paraId="361304D4">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cs="Times New Roman"/>
                <w:b w:val="0"/>
                <w:bCs w:val="0"/>
                <w:kern w:val="0"/>
                <w:lang w:eastAsia="zh-CN"/>
              </w:rPr>
              <w:t>（</w:t>
            </w:r>
            <w:r>
              <w:rPr>
                <w:rFonts w:hint="default" w:ascii="Times New Roman" w:hAnsi="Times New Roman" w:eastAsia="宋体" w:cs="Times New Roman"/>
                <w:b w:val="0"/>
                <w:bCs w:val="0"/>
                <w:kern w:val="0"/>
                <w:lang w:val="en-US" w:eastAsia="zh-CN"/>
              </w:rPr>
              <w:t>58分</w:t>
            </w:r>
            <w:r>
              <w:rPr>
                <w:rFonts w:hint="default" w:ascii="Times New Roman" w:hAnsi="Times New Roman" w:cs="Times New Roman"/>
                <w:b w:val="0"/>
                <w:bCs w:val="0"/>
                <w:kern w:val="0"/>
                <w:lang w:eastAsia="zh-CN"/>
              </w:rPr>
              <w:t>）</w:t>
            </w:r>
          </w:p>
        </w:tc>
        <w:tc>
          <w:tcPr>
            <w:tcW w:w="1359" w:type="dxa"/>
            <w:noWrap w:val="0"/>
            <w:vAlign w:val="center"/>
          </w:tcPr>
          <w:p w14:paraId="2C66B581">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lang w:val="en-US" w:eastAsia="zh-CN"/>
              </w:rPr>
              <w:t>中央厨房规模配置</w:t>
            </w:r>
          </w:p>
          <w:p w14:paraId="2F127AAE">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w:t>
            </w:r>
            <w:r>
              <w:rPr>
                <w:rFonts w:hint="default" w:ascii="Times New Roman" w:hAnsi="Times New Roman" w:eastAsia="宋体" w:cs="Times New Roman"/>
                <w:b w:val="0"/>
                <w:bCs w:val="0"/>
                <w:kern w:val="0"/>
                <w:lang w:val="en-US" w:eastAsia="zh-CN"/>
              </w:rPr>
              <w:t>25</w:t>
            </w:r>
            <w:r>
              <w:rPr>
                <w:rFonts w:hint="default" w:ascii="Times New Roman" w:hAnsi="Times New Roman" w:eastAsia="宋体" w:cs="Times New Roman"/>
                <w:b w:val="0"/>
                <w:bCs w:val="0"/>
                <w:kern w:val="0"/>
              </w:rPr>
              <w:t>分)</w:t>
            </w:r>
          </w:p>
        </w:tc>
        <w:tc>
          <w:tcPr>
            <w:tcW w:w="7256" w:type="dxa"/>
            <w:noWrap w:val="0"/>
            <w:vAlign w:val="center"/>
          </w:tcPr>
          <w:p w14:paraId="566A5B06">
            <w:pPr>
              <w:pStyle w:val="10"/>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实地考察中央厨房规模、环境、卫生、设备、消毒等每位核查小组成员各自打分（0-25分）</w:t>
            </w:r>
          </w:p>
        </w:tc>
      </w:tr>
      <w:tr w14:paraId="61980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1663" w:type="dxa"/>
            <w:vMerge w:val="continue"/>
            <w:noWrap w:val="0"/>
            <w:vAlign w:val="center"/>
          </w:tcPr>
          <w:p w14:paraId="7562772E">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p>
        </w:tc>
        <w:tc>
          <w:tcPr>
            <w:tcW w:w="1359" w:type="dxa"/>
            <w:noWrap w:val="0"/>
            <w:vAlign w:val="center"/>
          </w:tcPr>
          <w:p w14:paraId="63CE6197">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lang w:val="en-US" w:eastAsia="zh-CN"/>
              </w:rPr>
              <w:t>管理、质量、安全标准</w:t>
            </w:r>
          </w:p>
          <w:p w14:paraId="7185A15F">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w:t>
            </w:r>
            <w:r>
              <w:rPr>
                <w:rFonts w:hint="default" w:ascii="Times New Roman" w:hAnsi="Times New Roman" w:eastAsia="宋体" w:cs="Times New Roman"/>
                <w:b w:val="0"/>
                <w:bCs w:val="0"/>
                <w:kern w:val="0"/>
                <w:lang w:val="en-US" w:eastAsia="zh-CN"/>
              </w:rPr>
              <w:t>7</w:t>
            </w:r>
            <w:r>
              <w:rPr>
                <w:rFonts w:hint="default" w:ascii="Times New Roman" w:hAnsi="Times New Roman" w:eastAsia="宋体" w:cs="Times New Roman"/>
                <w:b w:val="0"/>
                <w:bCs w:val="0"/>
                <w:kern w:val="0"/>
              </w:rPr>
              <w:t>分)</w:t>
            </w:r>
          </w:p>
        </w:tc>
        <w:tc>
          <w:tcPr>
            <w:tcW w:w="7256" w:type="dxa"/>
            <w:noWrap w:val="0"/>
            <w:vAlign w:val="center"/>
          </w:tcPr>
          <w:p w14:paraId="55032C25">
            <w:pPr>
              <w:pStyle w:val="10"/>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实地考察公司是否</w:t>
            </w:r>
            <w:r>
              <w:rPr>
                <w:rFonts w:hint="default" w:ascii="Times New Roman" w:hAnsi="Times New Roman" w:eastAsia="宋体" w:cs="Times New Roman"/>
                <w:color w:val="auto"/>
                <w:kern w:val="2"/>
                <w:sz w:val="21"/>
                <w:szCs w:val="22"/>
                <w:highlight w:val="none"/>
                <w:lang w:val="en-US" w:eastAsia="zh-CN" w:bidi="ar-SA"/>
              </w:rPr>
              <w:t>采用“6S”或“4D”管理标准、有无完善的原材料采购台账及相关索证索票、有无留样专间和留样专柜并有完善的留样记录、有无消防设施</w:t>
            </w:r>
            <w:r>
              <w:rPr>
                <w:rFonts w:hint="default" w:ascii="Times New Roman" w:hAnsi="Times New Roman" w:eastAsia="宋体" w:cs="Times New Roman"/>
                <w:kern w:val="2"/>
                <w:sz w:val="21"/>
                <w:szCs w:val="22"/>
                <w:highlight w:val="none"/>
                <w:lang w:val="en-US" w:eastAsia="zh-CN" w:bidi="ar-SA"/>
              </w:rPr>
              <w:t>等每位核查小组成员各自打分（0-7分）</w:t>
            </w:r>
          </w:p>
        </w:tc>
      </w:tr>
      <w:tr w14:paraId="11CF8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1663" w:type="dxa"/>
            <w:vMerge w:val="continue"/>
            <w:noWrap w:val="0"/>
            <w:vAlign w:val="center"/>
          </w:tcPr>
          <w:p w14:paraId="4EFF96C6">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p>
        </w:tc>
        <w:tc>
          <w:tcPr>
            <w:tcW w:w="1359" w:type="dxa"/>
            <w:noWrap w:val="0"/>
            <w:vAlign w:val="center"/>
          </w:tcPr>
          <w:p w14:paraId="190B1642">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rPr>
            </w:pPr>
            <w:r>
              <w:rPr>
                <w:rFonts w:hint="default" w:ascii="Times New Roman" w:hAnsi="Times New Roman" w:eastAsia="宋体" w:cs="Times New Roman"/>
                <w:b w:val="0"/>
                <w:bCs w:val="0"/>
                <w:kern w:val="0"/>
              </w:rPr>
              <w:t>检测能力</w:t>
            </w:r>
          </w:p>
          <w:p w14:paraId="6959EB23">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(16分)</w:t>
            </w:r>
          </w:p>
        </w:tc>
        <w:tc>
          <w:tcPr>
            <w:tcW w:w="7256" w:type="dxa"/>
            <w:noWrap w:val="0"/>
            <w:vAlign w:val="center"/>
          </w:tcPr>
          <w:p w14:paraId="2D07F679">
            <w:pPr>
              <w:pStyle w:val="10"/>
              <w:keepNext w:val="0"/>
              <w:keepLines w:val="0"/>
              <w:pageBreakBefore w:val="0"/>
              <w:numPr>
                <w:ilvl w:val="0"/>
                <w:numId w:val="0"/>
              </w:numPr>
              <w:kinsoku/>
              <w:wordWrap/>
              <w:overflowPunct/>
              <w:topLinePunct w:val="0"/>
              <w:autoSpaceDE/>
              <w:autoSpaceDN/>
              <w:bidi w:val="0"/>
              <w:adjustRightInd/>
              <w:snapToGrid/>
              <w:spacing w:after="0" w:line="400" w:lineRule="exact"/>
              <w:ind w:leftChars="0"/>
              <w:jc w:val="left"/>
              <w:textAlignment w:val="auto"/>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kern w:val="2"/>
                <w:sz w:val="21"/>
                <w:szCs w:val="22"/>
                <w:highlight w:val="none"/>
                <w:lang w:val="en-US" w:eastAsia="zh-CN" w:bidi="ar-SA"/>
              </w:rPr>
              <w:t>实地考察检测室，依据检测设备是否齐全、检测环境是否符合标准、是否满足操作需求、是否留存检测记录、质检台账保存</w:t>
            </w:r>
            <w:r>
              <w:rPr>
                <w:rFonts w:hint="eastAsia" w:ascii="Times New Roman" w:hAnsi="Times New Roman" w:eastAsia="宋体" w:cs="Times New Roman"/>
                <w:kern w:val="2"/>
                <w:sz w:val="21"/>
                <w:szCs w:val="22"/>
                <w:highlight w:val="none"/>
                <w:lang w:val="en-US" w:eastAsia="zh-CN" w:bidi="ar-SA"/>
              </w:rPr>
              <w:t>完</w:t>
            </w:r>
            <w:r>
              <w:rPr>
                <w:rFonts w:hint="default" w:ascii="Times New Roman" w:hAnsi="Times New Roman" w:eastAsia="宋体" w:cs="Times New Roman"/>
                <w:kern w:val="2"/>
                <w:sz w:val="21"/>
                <w:szCs w:val="22"/>
                <w:highlight w:val="none"/>
                <w:lang w:val="en-US" w:eastAsia="zh-CN" w:bidi="ar-SA"/>
              </w:rPr>
              <w:t>好、清晰等每位核查小组成员各自打分（0-16分）</w:t>
            </w:r>
          </w:p>
        </w:tc>
      </w:tr>
      <w:tr w14:paraId="5DA8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1663" w:type="dxa"/>
            <w:vMerge w:val="continue"/>
            <w:noWrap w:val="0"/>
            <w:vAlign w:val="center"/>
          </w:tcPr>
          <w:p w14:paraId="033693D8">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p>
        </w:tc>
        <w:tc>
          <w:tcPr>
            <w:tcW w:w="1359" w:type="dxa"/>
            <w:noWrap w:val="0"/>
            <w:vAlign w:val="center"/>
          </w:tcPr>
          <w:p w14:paraId="733033CB">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运输能力</w:t>
            </w:r>
          </w:p>
          <w:p w14:paraId="0D40F325">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(5分)</w:t>
            </w:r>
          </w:p>
        </w:tc>
        <w:tc>
          <w:tcPr>
            <w:tcW w:w="7256" w:type="dxa"/>
            <w:noWrap w:val="0"/>
            <w:vAlign w:val="center"/>
          </w:tcPr>
          <w:p w14:paraId="7F7D7F6A">
            <w:pPr>
              <w:pStyle w:val="10"/>
              <w:keepNext w:val="0"/>
              <w:keepLines w:val="0"/>
              <w:pageBreakBefore w:val="0"/>
              <w:numPr>
                <w:ilvl w:val="0"/>
                <w:numId w:val="0"/>
              </w:numPr>
              <w:kinsoku/>
              <w:wordWrap/>
              <w:overflowPunct/>
              <w:topLinePunct w:val="0"/>
              <w:autoSpaceDE/>
              <w:autoSpaceDN/>
              <w:bidi w:val="0"/>
              <w:adjustRightInd/>
              <w:snapToGrid/>
              <w:spacing w:after="0" w:line="400" w:lineRule="exact"/>
              <w:ind w:leftChars="0"/>
              <w:jc w:val="left"/>
              <w:textAlignment w:val="auto"/>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kern w:val="2"/>
                <w:sz w:val="21"/>
                <w:szCs w:val="22"/>
                <w:lang w:val="en-US" w:eastAsia="zh-CN" w:bidi="ar-SA"/>
              </w:rPr>
              <w:t>实地考察各公司车辆信息，包含冷链车、厢式货车等，依据车辆性能、数量、人员配备等情况，检查行驶证、机动车登记证书、车辆年检、车辆购买信息或租赁信息等证明材料后，</w:t>
            </w:r>
            <w:r>
              <w:rPr>
                <w:rFonts w:hint="default" w:ascii="Times New Roman" w:hAnsi="Times New Roman" w:eastAsia="宋体" w:cs="Times New Roman"/>
                <w:kern w:val="2"/>
                <w:sz w:val="21"/>
                <w:szCs w:val="22"/>
                <w:highlight w:val="none"/>
                <w:lang w:val="en-US" w:eastAsia="zh-CN" w:bidi="ar-SA"/>
              </w:rPr>
              <w:t>每位核查小组成员各自打分（0-5分）</w:t>
            </w:r>
          </w:p>
        </w:tc>
      </w:tr>
      <w:tr w14:paraId="49DF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663" w:type="dxa"/>
            <w:vMerge w:val="continue"/>
            <w:noWrap w:val="0"/>
            <w:vAlign w:val="center"/>
          </w:tcPr>
          <w:p w14:paraId="2F970924">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p>
        </w:tc>
        <w:tc>
          <w:tcPr>
            <w:tcW w:w="1359" w:type="dxa"/>
            <w:noWrap w:val="0"/>
            <w:vAlign w:val="center"/>
          </w:tcPr>
          <w:p w14:paraId="4182C6C5">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lang w:val="en-US" w:eastAsia="zh-CN"/>
              </w:rPr>
              <w:t>监控设施</w:t>
            </w:r>
          </w:p>
          <w:p w14:paraId="589A203D">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（5分)</w:t>
            </w:r>
          </w:p>
        </w:tc>
        <w:tc>
          <w:tcPr>
            <w:tcW w:w="7256" w:type="dxa"/>
            <w:noWrap w:val="0"/>
            <w:vAlign w:val="center"/>
          </w:tcPr>
          <w:p w14:paraId="575AFB94">
            <w:pPr>
              <w:pStyle w:val="10"/>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kern w:val="2"/>
                <w:sz w:val="21"/>
                <w:szCs w:val="22"/>
                <w:lang w:val="en-US" w:eastAsia="zh-CN" w:bidi="ar-SA"/>
              </w:rPr>
              <w:t>实地考察整个现场后，根据场地监控设备安装以及监控布局，设备运行正常，监控无死角，存储记录能力等情况</w:t>
            </w:r>
            <w:r>
              <w:rPr>
                <w:rFonts w:hint="default" w:ascii="Times New Roman" w:hAnsi="Times New Roman" w:eastAsia="宋体" w:cs="Times New Roman"/>
                <w:kern w:val="2"/>
                <w:sz w:val="21"/>
                <w:szCs w:val="22"/>
                <w:highlight w:val="none"/>
                <w:lang w:val="en-US" w:eastAsia="zh-CN" w:bidi="ar-SA"/>
              </w:rPr>
              <w:t>每位核查小组成员各自打分（0-5分）</w:t>
            </w:r>
          </w:p>
        </w:tc>
      </w:tr>
      <w:tr w14:paraId="149E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663" w:type="dxa"/>
            <w:vMerge w:val="restart"/>
            <w:noWrap w:val="0"/>
            <w:vAlign w:val="center"/>
          </w:tcPr>
          <w:p w14:paraId="617B4DE1">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lang w:val="en-US" w:eastAsia="zh-CN"/>
              </w:rPr>
              <w:t>技术部分</w:t>
            </w:r>
          </w:p>
          <w:p w14:paraId="131ECA3A">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cs="Times New Roman"/>
                <w:b w:val="0"/>
                <w:bCs w:val="0"/>
                <w:kern w:val="0"/>
                <w:lang w:val="en-US" w:eastAsia="zh-CN"/>
              </w:rPr>
              <w:t>（</w:t>
            </w:r>
            <w:r>
              <w:rPr>
                <w:rFonts w:hint="default" w:ascii="Times New Roman" w:hAnsi="Times New Roman" w:eastAsia="宋体" w:cs="Times New Roman"/>
                <w:b w:val="0"/>
                <w:bCs w:val="0"/>
                <w:kern w:val="0"/>
                <w:lang w:val="en-US" w:eastAsia="zh-CN"/>
              </w:rPr>
              <w:t>2</w:t>
            </w:r>
            <w:r>
              <w:rPr>
                <w:rFonts w:hint="eastAsia" w:ascii="Times New Roman" w:hAnsi="Times New Roman" w:eastAsia="宋体" w:cs="Times New Roman"/>
                <w:b w:val="0"/>
                <w:bCs w:val="0"/>
                <w:kern w:val="0"/>
                <w:lang w:val="en-US" w:eastAsia="zh-CN"/>
              </w:rPr>
              <w:t>8</w:t>
            </w:r>
            <w:r>
              <w:rPr>
                <w:rFonts w:hint="default" w:ascii="Times New Roman" w:hAnsi="Times New Roman" w:eastAsia="宋体" w:cs="Times New Roman"/>
                <w:b w:val="0"/>
                <w:bCs w:val="0"/>
                <w:kern w:val="0"/>
              </w:rPr>
              <w:t>分</w:t>
            </w:r>
            <w:r>
              <w:rPr>
                <w:rFonts w:hint="default" w:ascii="Times New Roman" w:hAnsi="Times New Roman" w:cs="Times New Roman"/>
                <w:b w:val="0"/>
                <w:bCs w:val="0"/>
                <w:kern w:val="0"/>
                <w:lang w:val="en-US" w:eastAsia="zh-CN"/>
              </w:rPr>
              <w:t>）</w:t>
            </w:r>
          </w:p>
        </w:tc>
        <w:tc>
          <w:tcPr>
            <w:tcW w:w="1359" w:type="dxa"/>
            <w:noWrap w:val="0"/>
            <w:vAlign w:val="center"/>
          </w:tcPr>
          <w:p w14:paraId="0C8EE8AF">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rPr>
            </w:pPr>
            <w:r>
              <w:rPr>
                <w:rFonts w:hint="default" w:ascii="Times New Roman" w:hAnsi="Times New Roman" w:eastAsia="宋体" w:cs="Times New Roman"/>
                <w:b w:val="0"/>
                <w:bCs w:val="0"/>
                <w:kern w:val="0"/>
              </w:rPr>
              <w:t>管理制度</w:t>
            </w:r>
          </w:p>
          <w:p w14:paraId="47810D76">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(3分)</w:t>
            </w:r>
          </w:p>
        </w:tc>
        <w:tc>
          <w:tcPr>
            <w:tcW w:w="7256" w:type="dxa"/>
            <w:noWrap w:val="0"/>
            <w:vAlign w:val="center"/>
          </w:tcPr>
          <w:p w14:paraId="5EC15BC9">
            <w:pPr>
              <w:pStyle w:val="10"/>
              <w:keepNext w:val="0"/>
              <w:keepLines w:val="0"/>
              <w:pageBreakBefore w:val="0"/>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kern w:val="2"/>
                <w:sz w:val="21"/>
                <w:szCs w:val="22"/>
                <w:lang w:val="en-US" w:eastAsia="zh-CN" w:bidi="ar-SA"/>
              </w:rPr>
              <w:t>实地考察公司管理制度是否明示、正常实施，依据现场观察情况</w:t>
            </w:r>
            <w:r>
              <w:rPr>
                <w:rFonts w:hint="default" w:ascii="Times New Roman" w:hAnsi="Times New Roman" w:eastAsia="宋体" w:cs="Times New Roman"/>
                <w:kern w:val="2"/>
                <w:sz w:val="21"/>
                <w:szCs w:val="22"/>
                <w:highlight w:val="none"/>
                <w:lang w:val="en-US" w:eastAsia="zh-CN" w:bidi="ar-SA"/>
              </w:rPr>
              <w:t>每位核查小组成员各自打分（0-3分）</w:t>
            </w:r>
          </w:p>
        </w:tc>
      </w:tr>
      <w:tr w14:paraId="5677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663" w:type="dxa"/>
            <w:vMerge w:val="continue"/>
            <w:noWrap w:val="0"/>
            <w:vAlign w:val="center"/>
          </w:tcPr>
          <w:p w14:paraId="228DD7F9">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p>
        </w:tc>
        <w:tc>
          <w:tcPr>
            <w:tcW w:w="1359" w:type="dxa"/>
            <w:noWrap w:val="0"/>
            <w:vAlign w:val="center"/>
          </w:tcPr>
          <w:p w14:paraId="567C3A66">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rPr>
            </w:pPr>
            <w:r>
              <w:rPr>
                <w:rFonts w:hint="default" w:ascii="Times New Roman" w:hAnsi="Times New Roman" w:eastAsia="宋体" w:cs="Times New Roman"/>
                <w:b w:val="0"/>
                <w:bCs w:val="0"/>
                <w:kern w:val="0"/>
              </w:rPr>
              <w:t>服务承诺</w:t>
            </w:r>
          </w:p>
          <w:p w14:paraId="328CE7C4">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w:t>
            </w:r>
            <w:r>
              <w:rPr>
                <w:rFonts w:hint="eastAsia" w:ascii="Times New Roman" w:hAnsi="Times New Roman" w:eastAsia="宋体" w:cs="Times New Roman"/>
                <w:b w:val="0"/>
                <w:bCs w:val="0"/>
                <w:kern w:val="0"/>
                <w:lang w:val="en-US" w:eastAsia="zh-CN"/>
              </w:rPr>
              <w:t>6</w:t>
            </w:r>
            <w:r>
              <w:rPr>
                <w:rFonts w:hint="default" w:ascii="Times New Roman" w:hAnsi="Times New Roman" w:eastAsia="宋体" w:cs="Times New Roman"/>
                <w:b w:val="0"/>
                <w:bCs w:val="0"/>
                <w:kern w:val="0"/>
              </w:rPr>
              <w:t>分)</w:t>
            </w:r>
          </w:p>
        </w:tc>
        <w:tc>
          <w:tcPr>
            <w:tcW w:w="7256" w:type="dxa"/>
            <w:noWrap w:val="0"/>
            <w:vAlign w:val="center"/>
          </w:tcPr>
          <w:p w14:paraId="4A5E4286">
            <w:pPr>
              <w:pStyle w:val="10"/>
              <w:keepNext w:val="0"/>
              <w:keepLines w:val="0"/>
              <w:pageBreakBefore w:val="0"/>
              <w:numPr>
                <w:ilvl w:val="0"/>
                <w:numId w:val="0"/>
              </w:numPr>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kern w:val="2"/>
                <w:sz w:val="21"/>
                <w:szCs w:val="22"/>
                <w:lang w:val="en-US" w:eastAsia="zh-CN" w:bidi="ar-SA"/>
              </w:rPr>
              <w:t>根据各公司做出的承诺进行现场询问考察，依据各公司对承诺的履行能力</w:t>
            </w:r>
            <w:r>
              <w:rPr>
                <w:rFonts w:hint="default" w:ascii="Times New Roman" w:hAnsi="Times New Roman" w:eastAsia="宋体" w:cs="Times New Roman"/>
                <w:kern w:val="2"/>
                <w:sz w:val="21"/>
                <w:szCs w:val="22"/>
                <w:highlight w:val="none"/>
                <w:lang w:val="en-US" w:eastAsia="zh-CN" w:bidi="ar-SA"/>
              </w:rPr>
              <w:t>每位核查小组成员各自打分（0-</w:t>
            </w:r>
            <w:r>
              <w:rPr>
                <w:rFonts w:hint="eastAsia" w:ascii="Times New Roman" w:hAnsi="Times New Roman" w:eastAsia="宋体" w:cs="Times New Roman"/>
                <w:kern w:val="2"/>
                <w:sz w:val="21"/>
                <w:szCs w:val="22"/>
                <w:highlight w:val="none"/>
                <w:lang w:val="en-US" w:eastAsia="zh-CN" w:bidi="ar-SA"/>
              </w:rPr>
              <w:t>6</w:t>
            </w:r>
            <w:r>
              <w:rPr>
                <w:rFonts w:hint="default" w:ascii="Times New Roman" w:hAnsi="Times New Roman" w:eastAsia="宋体" w:cs="Times New Roman"/>
                <w:kern w:val="2"/>
                <w:sz w:val="21"/>
                <w:szCs w:val="22"/>
                <w:highlight w:val="none"/>
                <w:lang w:val="en-US" w:eastAsia="zh-CN" w:bidi="ar-SA"/>
              </w:rPr>
              <w:t>分）</w:t>
            </w:r>
          </w:p>
        </w:tc>
      </w:tr>
      <w:tr w14:paraId="69A3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663" w:type="dxa"/>
            <w:vMerge w:val="continue"/>
            <w:noWrap w:val="0"/>
            <w:vAlign w:val="center"/>
          </w:tcPr>
          <w:p w14:paraId="3534E54C">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p>
        </w:tc>
        <w:tc>
          <w:tcPr>
            <w:tcW w:w="1359" w:type="dxa"/>
            <w:noWrap w:val="0"/>
            <w:vAlign w:val="center"/>
          </w:tcPr>
          <w:p w14:paraId="0883E2EE">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rPr>
            </w:pPr>
            <w:r>
              <w:rPr>
                <w:rFonts w:hint="default" w:ascii="Times New Roman" w:hAnsi="Times New Roman" w:eastAsia="宋体" w:cs="Times New Roman"/>
                <w:b w:val="0"/>
                <w:bCs w:val="0"/>
                <w:kern w:val="0"/>
              </w:rPr>
              <w:t>人力资源</w:t>
            </w:r>
          </w:p>
          <w:p w14:paraId="58AEFD89">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rPr>
              <w:t>(</w:t>
            </w:r>
            <w:r>
              <w:rPr>
                <w:rFonts w:hint="eastAsia" w:ascii="Times New Roman" w:hAnsi="Times New Roman" w:eastAsia="宋体" w:cs="Times New Roman"/>
                <w:b w:val="0"/>
                <w:bCs w:val="0"/>
                <w:kern w:val="0"/>
                <w:lang w:val="en-US" w:eastAsia="zh-CN"/>
              </w:rPr>
              <w:t>19</w:t>
            </w:r>
            <w:r>
              <w:rPr>
                <w:rFonts w:hint="default" w:ascii="Times New Roman" w:hAnsi="Times New Roman" w:eastAsia="宋体" w:cs="Times New Roman"/>
                <w:b w:val="0"/>
                <w:bCs w:val="0"/>
                <w:kern w:val="0"/>
              </w:rPr>
              <w:t>分)</w:t>
            </w:r>
          </w:p>
        </w:tc>
        <w:tc>
          <w:tcPr>
            <w:tcW w:w="7256" w:type="dxa"/>
            <w:noWrap w:val="0"/>
            <w:vAlign w:val="center"/>
          </w:tcPr>
          <w:p w14:paraId="0E1ADC69">
            <w:pPr>
              <w:pStyle w:val="10"/>
              <w:keepNext w:val="0"/>
              <w:keepLines w:val="0"/>
              <w:pageBreakBefore w:val="0"/>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kern w:val="2"/>
                <w:sz w:val="21"/>
                <w:szCs w:val="22"/>
                <w:lang w:val="en-US" w:eastAsia="zh-CN" w:bidi="ar-SA"/>
              </w:rPr>
            </w:pPr>
            <w:r>
              <w:rPr>
                <w:rFonts w:hint="default" w:ascii="Times New Roman" w:hAnsi="Times New Roman" w:eastAsia="宋体" w:cs="Times New Roman"/>
                <w:kern w:val="2"/>
                <w:sz w:val="21"/>
                <w:szCs w:val="22"/>
                <w:lang w:val="en-US" w:eastAsia="zh-CN" w:bidi="ar-SA"/>
              </w:rPr>
              <w:t>现场检查</w:t>
            </w:r>
            <w:r>
              <w:rPr>
                <w:rFonts w:hint="eastAsia" w:ascii="Times New Roman" w:hAnsi="Times New Roman" w:eastAsia="宋体" w:cs="Times New Roman"/>
                <w:kern w:val="2"/>
                <w:sz w:val="21"/>
                <w:szCs w:val="22"/>
                <w:lang w:val="en-US" w:eastAsia="zh-CN" w:bidi="ar-SA"/>
              </w:rPr>
              <w:t>餐品制作、</w:t>
            </w:r>
            <w:r>
              <w:rPr>
                <w:rFonts w:hint="default" w:ascii="Times New Roman" w:hAnsi="Times New Roman" w:eastAsia="宋体" w:cs="Times New Roman"/>
                <w:kern w:val="2"/>
                <w:sz w:val="21"/>
                <w:szCs w:val="22"/>
                <w:lang w:val="en-US" w:eastAsia="zh-CN" w:bidi="ar-SA"/>
              </w:rPr>
              <w:t>配送人员、食品安全管理员、检验人员、驾驶员等工作人员的社保、相关工作证书、健康证等证件，根据检查结果</w:t>
            </w:r>
            <w:r>
              <w:rPr>
                <w:rFonts w:hint="default" w:ascii="Times New Roman" w:hAnsi="Times New Roman" w:eastAsia="宋体" w:cs="Times New Roman"/>
                <w:kern w:val="2"/>
                <w:sz w:val="21"/>
                <w:szCs w:val="22"/>
                <w:highlight w:val="none"/>
                <w:lang w:val="en-US" w:eastAsia="zh-CN" w:bidi="ar-SA"/>
              </w:rPr>
              <w:t>综合打分（0-</w:t>
            </w:r>
            <w:r>
              <w:rPr>
                <w:rFonts w:hint="eastAsia" w:ascii="Times New Roman" w:hAnsi="Times New Roman" w:eastAsia="宋体" w:cs="Times New Roman"/>
                <w:kern w:val="2"/>
                <w:sz w:val="21"/>
                <w:szCs w:val="22"/>
                <w:highlight w:val="none"/>
                <w:lang w:val="en-US" w:eastAsia="zh-CN" w:bidi="ar-SA"/>
              </w:rPr>
              <w:t>19</w:t>
            </w:r>
            <w:r>
              <w:rPr>
                <w:rFonts w:hint="default" w:ascii="Times New Roman" w:hAnsi="Times New Roman" w:eastAsia="宋体" w:cs="Times New Roman"/>
                <w:kern w:val="2"/>
                <w:sz w:val="21"/>
                <w:szCs w:val="22"/>
                <w:highlight w:val="none"/>
                <w:lang w:val="en-US" w:eastAsia="zh-CN" w:bidi="ar-SA"/>
              </w:rPr>
              <w:t>分）</w:t>
            </w:r>
          </w:p>
        </w:tc>
      </w:tr>
      <w:tr w14:paraId="0859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1663" w:type="dxa"/>
            <w:noWrap w:val="0"/>
            <w:vAlign w:val="center"/>
          </w:tcPr>
          <w:p w14:paraId="7E237A79">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lang w:val="en-US" w:eastAsia="zh-CN"/>
              </w:rPr>
              <w:t>商务部分</w:t>
            </w:r>
          </w:p>
          <w:p w14:paraId="65B68A6F">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cs="Times New Roman"/>
                <w:b w:val="0"/>
                <w:bCs w:val="0"/>
                <w:kern w:val="0"/>
                <w:lang w:val="en-US" w:eastAsia="zh-CN"/>
              </w:rPr>
              <w:t>（</w:t>
            </w:r>
            <w:r>
              <w:rPr>
                <w:rFonts w:hint="eastAsia" w:ascii="Times New Roman" w:hAnsi="Times New Roman" w:eastAsia="宋体" w:cs="Times New Roman"/>
                <w:b w:val="0"/>
                <w:bCs w:val="0"/>
                <w:kern w:val="0"/>
                <w:lang w:val="en-US" w:eastAsia="zh-CN"/>
              </w:rPr>
              <w:t>14</w:t>
            </w:r>
            <w:r>
              <w:rPr>
                <w:rFonts w:hint="default" w:ascii="Times New Roman" w:hAnsi="Times New Roman" w:eastAsia="宋体" w:cs="Times New Roman"/>
                <w:b w:val="0"/>
                <w:bCs w:val="0"/>
                <w:kern w:val="0"/>
                <w:lang w:val="en-US" w:eastAsia="zh-CN"/>
              </w:rPr>
              <w:t>分</w:t>
            </w:r>
            <w:r>
              <w:rPr>
                <w:rFonts w:hint="default" w:ascii="Times New Roman" w:hAnsi="Times New Roman" w:cs="Times New Roman"/>
                <w:b w:val="0"/>
                <w:bCs w:val="0"/>
                <w:kern w:val="0"/>
                <w:lang w:val="en-US" w:eastAsia="zh-CN"/>
              </w:rPr>
              <w:t>）</w:t>
            </w:r>
          </w:p>
        </w:tc>
        <w:tc>
          <w:tcPr>
            <w:tcW w:w="1359" w:type="dxa"/>
            <w:noWrap w:val="0"/>
            <w:vAlign w:val="center"/>
          </w:tcPr>
          <w:p w14:paraId="7F58B001">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eastAsia="宋体" w:cs="Times New Roman"/>
                <w:b w:val="0"/>
                <w:bCs w:val="0"/>
                <w:kern w:val="0"/>
                <w:lang w:val="en-US" w:eastAsia="zh-CN"/>
              </w:rPr>
              <w:t>商务部分</w:t>
            </w:r>
          </w:p>
          <w:p w14:paraId="0623368A">
            <w:pPr>
              <w:keepNext w:val="0"/>
              <w:keepLines w:val="0"/>
              <w:pageBreakBefore w:val="0"/>
              <w:widowControl/>
              <w:kinsoku/>
              <w:wordWrap/>
              <w:overflowPunct/>
              <w:topLinePunct w:val="0"/>
              <w:autoSpaceDE/>
              <w:autoSpaceDN/>
              <w:bidi w:val="0"/>
              <w:adjustRightInd/>
              <w:snapToGrid/>
              <w:spacing w:after="0" w:line="400" w:lineRule="exact"/>
              <w:ind w:left="0" w:leftChars="0" w:right="0" w:rightChars="0" w:firstLine="0" w:firstLineChars="0"/>
              <w:jc w:val="center"/>
              <w:textAlignment w:val="auto"/>
              <w:rPr>
                <w:rFonts w:hint="default" w:ascii="Times New Roman" w:hAnsi="Times New Roman" w:eastAsia="宋体" w:cs="Times New Roman"/>
                <w:b w:val="0"/>
                <w:bCs w:val="0"/>
                <w:kern w:val="0"/>
                <w:lang w:val="en-US" w:eastAsia="zh-CN"/>
              </w:rPr>
            </w:pPr>
            <w:r>
              <w:rPr>
                <w:rFonts w:hint="default" w:ascii="Times New Roman" w:hAnsi="Times New Roman" w:cs="Times New Roman"/>
                <w:b w:val="0"/>
                <w:bCs w:val="0"/>
                <w:kern w:val="0"/>
                <w:lang w:val="en-US" w:eastAsia="zh-CN"/>
              </w:rPr>
              <w:t>（</w:t>
            </w:r>
            <w:r>
              <w:rPr>
                <w:rFonts w:hint="eastAsia" w:ascii="Times New Roman" w:hAnsi="Times New Roman" w:eastAsia="宋体" w:cs="Times New Roman"/>
                <w:b w:val="0"/>
                <w:bCs w:val="0"/>
                <w:kern w:val="0"/>
                <w:lang w:val="en-US" w:eastAsia="zh-CN"/>
              </w:rPr>
              <w:t>14</w:t>
            </w:r>
            <w:r>
              <w:rPr>
                <w:rFonts w:hint="default" w:ascii="Times New Roman" w:hAnsi="Times New Roman" w:eastAsia="宋体" w:cs="Times New Roman"/>
                <w:b w:val="0"/>
                <w:bCs w:val="0"/>
                <w:kern w:val="0"/>
                <w:lang w:val="en-US" w:eastAsia="zh-CN"/>
              </w:rPr>
              <w:t>分</w:t>
            </w:r>
            <w:r>
              <w:rPr>
                <w:rFonts w:hint="default" w:ascii="Times New Roman" w:hAnsi="Times New Roman" w:cs="Times New Roman"/>
                <w:b w:val="0"/>
                <w:bCs w:val="0"/>
                <w:kern w:val="0"/>
                <w:lang w:val="en-US" w:eastAsia="zh-CN"/>
              </w:rPr>
              <w:t>）</w:t>
            </w:r>
          </w:p>
        </w:tc>
        <w:tc>
          <w:tcPr>
            <w:tcW w:w="7256" w:type="dxa"/>
            <w:noWrap w:val="0"/>
            <w:vAlign w:val="center"/>
          </w:tcPr>
          <w:p w14:paraId="4060A9B8">
            <w:pPr>
              <w:keepNext w:val="0"/>
              <w:keepLines w:val="0"/>
              <w:pageBreakBefore w:val="0"/>
              <w:widowControl/>
              <w:kinsoku/>
              <w:wordWrap/>
              <w:overflowPunct/>
              <w:topLinePunct w:val="0"/>
              <w:autoSpaceDE/>
              <w:autoSpaceDN/>
              <w:bidi w:val="0"/>
              <w:adjustRightInd/>
              <w:snapToGrid/>
              <w:spacing w:after="0" w:line="380" w:lineRule="exact"/>
              <w:ind w:left="0" w:leftChars="0" w:right="0" w:rightChars="0" w:firstLine="0" w:firstLineChars="0"/>
              <w:jc w:val="both"/>
              <w:textAlignment w:val="auto"/>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lang w:val="en-US" w:eastAsia="zh-CN" w:bidi="ar-SA"/>
              </w:rPr>
              <w:t>现场检验业绩、慈善证明、</w:t>
            </w:r>
            <w:r>
              <w:rPr>
                <w:rFonts w:hint="default" w:ascii="Times New Roman" w:hAnsi="Times New Roman" w:eastAsia="宋体" w:cs="Times New Roman"/>
                <w:color w:val="000000" w:themeColor="text1"/>
                <w:kern w:val="2"/>
                <w:sz w:val="21"/>
                <w:szCs w:val="22"/>
                <w:lang w:val="en-US" w:eastAsia="zh-CN" w:bidi="ar-SA"/>
                <w14:textFill>
                  <w14:solidFill>
                    <w14:schemeClr w14:val="tx1"/>
                  </w14:solidFill>
                </w14:textFill>
              </w:rPr>
              <w:t>认证体系、</w:t>
            </w:r>
            <w:r>
              <w:rPr>
                <w:rFonts w:hint="default" w:ascii="Times New Roman" w:hAnsi="Times New Roman" w:eastAsia="宋体" w:cs="Times New Roman"/>
                <w:b w:val="0"/>
                <w:bCs w:val="0"/>
                <w:kern w:val="0"/>
              </w:rPr>
              <w:t>大宗食品索证</w:t>
            </w:r>
            <w:r>
              <w:rPr>
                <w:rFonts w:hint="default" w:ascii="Times New Roman" w:hAnsi="Times New Roman" w:eastAsia="宋体" w:cs="Times New Roman"/>
                <w:b w:val="0"/>
                <w:bCs w:val="0"/>
                <w:kern w:val="0"/>
                <w:lang w:val="en-US" w:eastAsia="zh-CN"/>
              </w:rPr>
              <w:t>等证明材料原件，综合评比公司实力后</w:t>
            </w:r>
            <w:r>
              <w:rPr>
                <w:rFonts w:hint="default" w:ascii="Times New Roman" w:hAnsi="Times New Roman" w:eastAsia="宋体" w:cs="Times New Roman"/>
                <w:kern w:val="2"/>
                <w:sz w:val="21"/>
                <w:szCs w:val="22"/>
                <w:highlight w:val="none"/>
                <w:lang w:val="en-US" w:eastAsia="zh-CN" w:bidi="ar-SA"/>
              </w:rPr>
              <w:t>每位核查小组成员各自打分（0-</w:t>
            </w:r>
            <w:r>
              <w:rPr>
                <w:rFonts w:hint="eastAsia" w:ascii="Times New Roman" w:hAnsi="Times New Roman" w:eastAsia="宋体" w:cs="Times New Roman"/>
                <w:kern w:val="2"/>
                <w:sz w:val="21"/>
                <w:szCs w:val="22"/>
                <w:highlight w:val="none"/>
                <w:lang w:val="en-US" w:eastAsia="zh-CN" w:bidi="ar-SA"/>
              </w:rPr>
              <w:t>14</w:t>
            </w:r>
            <w:r>
              <w:rPr>
                <w:rFonts w:hint="default" w:ascii="Times New Roman" w:hAnsi="Times New Roman" w:eastAsia="宋体" w:cs="Times New Roman"/>
                <w:kern w:val="2"/>
                <w:sz w:val="21"/>
                <w:szCs w:val="22"/>
                <w:highlight w:val="none"/>
                <w:lang w:val="en-US" w:eastAsia="zh-CN" w:bidi="ar-SA"/>
              </w:rPr>
              <w:t>分）</w:t>
            </w:r>
          </w:p>
          <w:p w14:paraId="07328833">
            <w:pPr>
              <w:keepNext w:val="0"/>
              <w:keepLines w:val="0"/>
              <w:pageBreakBefore w:val="0"/>
              <w:widowControl/>
              <w:kinsoku/>
              <w:wordWrap/>
              <w:overflowPunct/>
              <w:topLinePunct w:val="0"/>
              <w:autoSpaceDE/>
              <w:autoSpaceDN/>
              <w:bidi w:val="0"/>
              <w:adjustRightInd/>
              <w:snapToGrid/>
              <w:spacing w:after="0" w:line="380" w:lineRule="exact"/>
              <w:ind w:left="0" w:leftChars="0" w:right="0" w:rightChars="0" w:firstLine="0" w:firstLineChars="0"/>
              <w:jc w:val="both"/>
              <w:textAlignment w:val="auto"/>
              <w:rPr>
                <w:rFonts w:hint="default" w:ascii="Times New Roman" w:hAnsi="Times New Roman" w:eastAsia="宋体" w:cs="Times New Roman"/>
                <w:kern w:val="2"/>
                <w:sz w:val="21"/>
                <w:szCs w:val="22"/>
                <w:highlight w:val="none"/>
                <w:lang w:val="en-US" w:eastAsia="zh-CN" w:bidi="ar-SA"/>
              </w:rPr>
            </w:pPr>
            <w:r>
              <w:rPr>
                <w:rFonts w:hint="default" w:ascii="Times New Roman" w:hAnsi="Times New Roman" w:eastAsia="宋体" w:cs="Times New Roman"/>
                <w:kern w:val="2"/>
                <w:sz w:val="21"/>
                <w:szCs w:val="22"/>
                <w:highlight w:val="none"/>
                <w:lang w:val="en-US" w:eastAsia="zh-CN" w:bidi="ar-SA"/>
              </w:rPr>
              <w:t>注：1、若发现弄虚作假的，应取消其入围候选人资格并告知定标小组；</w:t>
            </w:r>
          </w:p>
        </w:tc>
      </w:tr>
      <w:tr w14:paraId="1E7D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0278" w:type="dxa"/>
            <w:gridSpan w:val="3"/>
            <w:noWrap w:val="0"/>
            <w:vAlign w:val="center"/>
          </w:tcPr>
          <w:p w14:paraId="0148D4AF">
            <w:pPr>
              <w:keepNext w:val="0"/>
              <w:keepLines w:val="0"/>
              <w:pageBreakBefore w:val="0"/>
              <w:kinsoku/>
              <w:wordWrap/>
              <w:overflowPunct/>
              <w:topLinePunct w:val="0"/>
              <w:autoSpaceDE/>
              <w:autoSpaceDN/>
              <w:bidi w:val="0"/>
              <w:adjustRightInd/>
              <w:snapToGrid/>
              <w:spacing w:after="0" w:line="400" w:lineRule="exact"/>
              <w:ind w:left="0" w:leftChars="0" w:firstLine="0" w:firstLineChars="0"/>
              <w:jc w:val="left"/>
              <w:textAlignment w:val="auto"/>
              <w:rPr>
                <w:rFonts w:hint="default" w:ascii="Times New Roman" w:hAnsi="Times New Roman" w:eastAsia="宋体" w:cs="Times New Roman"/>
                <w:vertAlign w:val="baseline"/>
                <w:lang w:val="en-US" w:eastAsia="zh-CN"/>
              </w:rPr>
            </w:pPr>
            <w:r>
              <w:rPr>
                <w:rFonts w:hint="default" w:ascii="Times New Roman" w:hAnsi="Times New Roman" w:eastAsia="宋体" w:cs="Times New Roman"/>
                <w:caps w:val="0"/>
                <w:spacing w:val="0"/>
                <w:w w:val="100"/>
                <w:kern w:val="0"/>
                <w:position w:val="0"/>
                <w:highlight w:val="none"/>
              </w:rPr>
              <w:t>本办法计算过程中分值按四舍五入保留两位小数，最终结果为评标委员会所有成员计算出的各供应商综合评估得分的算术平均值，按四舍五入保留两位小数。</w:t>
            </w:r>
          </w:p>
        </w:tc>
      </w:tr>
    </w:tbl>
    <w:p w14:paraId="45CAF71D">
      <w:pPr>
        <w:jc w:val="cente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EF71AD"/>
    <w:rsid w:val="06547C77"/>
    <w:rsid w:val="10EA406B"/>
    <w:rsid w:val="1AA475A6"/>
    <w:rsid w:val="1B2A4372"/>
    <w:rsid w:val="1C33473D"/>
    <w:rsid w:val="2C114181"/>
    <w:rsid w:val="3C5E53AF"/>
    <w:rsid w:val="44FD3809"/>
    <w:rsid w:val="53EF71AD"/>
    <w:rsid w:val="628D28EC"/>
    <w:rsid w:val="691D5C96"/>
    <w:rsid w:val="6F9208F0"/>
    <w:rsid w:val="76FB1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6">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line="240" w:lineRule="auto"/>
      <w:ind w:left="420" w:leftChars="200" w:firstLine="420" w:firstLineChars="200"/>
    </w:pPr>
    <w:rPr>
      <w:spacing w:val="0"/>
      <w:sz w:val="21"/>
      <w:szCs w:val="24"/>
    </w:rPr>
  </w:style>
  <w:style w:type="paragraph" w:styleId="3">
    <w:name w:val="Body Text Indent"/>
    <w:basedOn w:val="1"/>
    <w:next w:val="4"/>
    <w:qFormat/>
    <w:uiPriority w:val="0"/>
    <w:pPr>
      <w:spacing w:line="420" w:lineRule="exact"/>
      <w:ind w:firstLine="732" w:firstLineChars="300"/>
    </w:pPr>
    <w:rPr>
      <w:spacing w:val="2"/>
      <w:sz w:val="24"/>
      <w:szCs w:val="20"/>
    </w:rPr>
  </w:style>
  <w:style w:type="paragraph" w:styleId="4">
    <w:name w:val="envelope return"/>
    <w:basedOn w:val="1"/>
    <w:qFormat/>
    <w:uiPriority w:val="0"/>
    <w:pPr>
      <w:snapToGrid w:val="0"/>
    </w:pPr>
    <w:rPr>
      <w:rFonts w:ascii="Arial" w:hAnsi="Arial"/>
    </w:rPr>
  </w:style>
  <w:style w:type="table" w:styleId="8">
    <w:name w:val="Table Grid"/>
    <w:basedOn w:val="7"/>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Table Text"/>
    <w:basedOn w:val="1"/>
    <w:semiHidden/>
    <w:qFormat/>
    <w:uiPriority w:val="0"/>
    <w:rPr>
      <w:rFonts w:ascii="微软雅黑" w:hAnsi="微软雅黑" w:eastAsia="微软雅黑" w:cs="微软雅黑"/>
      <w:sz w:val="18"/>
      <w:szCs w:val="18"/>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873</Words>
  <Characters>920</Characters>
  <Lines>0</Lines>
  <Paragraphs>0</Paragraphs>
  <TotalTime>12</TotalTime>
  <ScaleCrop>false</ScaleCrop>
  <LinksUpToDate>false</LinksUpToDate>
  <CharactersWithSpaces>920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2025-01-06T07:27:00Z</dcterms:created>
  <dc:creator>A.     彬彬有礼</dc:creator>
  <cp:lastModifiedBy>格温高</cp:lastModifiedBy>
  <dcterms:modified xsi:type="dcterms:W3CDTF">2026-08-11T02:01:37Z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58BE9DDA1BE54C2A91A48DC3EDF0FF49_11</vt:lpwstr>
  </property>
  <property fmtid="{D5CDD505-2E9C-101B-9397-08002B2CF9AE}" pid="4" name="KSOTemplateDocerSaveRecord">
    <vt:lpwstr>eyJoZGlkIjoiNTFhNDA2NmZlNmZlYmIyOGFiOWU2YjhjZTY3MTE2NDIiLCJ1c2VySWQiOiI4NzM1NTUwNDcifQ==</vt:lpwstr>
  </property>
</Properties>
</file>